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D794" w14:textId="0523ABDB" w:rsidR="00A02F75" w:rsidRPr="00434500" w:rsidRDefault="00F96982" w:rsidP="00434500">
      <w:pPr>
        <w:jc w:val="center"/>
        <w:rPr>
          <w:rFonts w:ascii="Arial" w:hAnsi="Arial" w:cs="Arial"/>
          <w:b/>
          <w:bCs/>
          <w:sz w:val="40"/>
          <w:szCs w:val="40"/>
        </w:rPr>
      </w:pPr>
      <w:r w:rsidRPr="00434500">
        <w:rPr>
          <w:rFonts w:ascii="Arial" w:hAnsi="Arial" w:cs="Arial"/>
          <w:b/>
          <w:bCs/>
          <w:sz w:val="40"/>
          <w:szCs w:val="40"/>
        </w:rPr>
        <w:t xml:space="preserve">Kirklees Safeguarding Children Partnership </w:t>
      </w:r>
      <w:r w:rsidRPr="00434500">
        <w:rPr>
          <w:rFonts w:ascii="Arial" w:hAnsi="Arial" w:cs="Arial"/>
          <w:b/>
          <w:bCs/>
          <w:sz w:val="40"/>
          <w:szCs w:val="40"/>
        </w:rPr>
        <w:br/>
        <w:t xml:space="preserve">Assurance Report </w:t>
      </w:r>
      <w:r w:rsidRPr="00434500">
        <w:rPr>
          <w:rFonts w:ascii="Arial" w:hAnsi="Arial" w:cs="Arial"/>
          <w:b/>
          <w:bCs/>
          <w:sz w:val="40"/>
          <w:szCs w:val="40"/>
        </w:rPr>
        <w:br/>
        <w:t>2021/2022</w:t>
      </w:r>
    </w:p>
    <w:p w14:paraId="44849161" w14:textId="77777777" w:rsidR="00F96982" w:rsidRDefault="00F96982"/>
    <w:p w14:paraId="47722313" w14:textId="797C3726" w:rsidR="00F96982" w:rsidRDefault="00F96982"/>
    <w:p w14:paraId="2D5C9974" w14:textId="5477B94D" w:rsidR="00434500" w:rsidRDefault="00434500"/>
    <w:p w14:paraId="100CA7BA" w14:textId="55B64AC4" w:rsidR="00434500" w:rsidRPr="00202D88" w:rsidRDefault="00434500" w:rsidP="00434500">
      <w:pPr>
        <w:pStyle w:val="Heading1"/>
        <w:rPr>
          <w:color w:val="0070C0"/>
        </w:rPr>
      </w:pPr>
      <w:r w:rsidRPr="00202D88">
        <w:rPr>
          <w:color w:val="0070C0"/>
        </w:rPr>
        <w:t>Contents</w:t>
      </w:r>
    </w:p>
    <w:p w14:paraId="78224CE1" w14:textId="56EC48ED" w:rsidR="00434500" w:rsidRPr="00202D88" w:rsidRDefault="00434500">
      <w:pPr>
        <w:rPr>
          <w:color w:val="0070C0"/>
        </w:rPr>
      </w:pPr>
    </w:p>
    <w:p w14:paraId="41B6893C" w14:textId="157CBDB0" w:rsidR="00434500" w:rsidRPr="00202D88" w:rsidRDefault="00434500" w:rsidP="001F609F">
      <w:pPr>
        <w:pStyle w:val="ListParagraph"/>
        <w:numPr>
          <w:ilvl w:val="0"/>
          <w:numId w:val="14"/>
        </w:numPr>
        <w:rPr>
          <w:color w:val="0070C0"/>
          <w:sz w:val="28"/>
          <w:szCs w:val="28"/>
        </w:rPr>
      </w:pPr>
      <w:r w:rsidRPr="00202D88">
        <w:rPr>
          <w:color w:val="0070C0"/>
          <w:sz w:val="28"/>
          <w:szCs w:val="28"/>
        </w:rPr>
        <w:t>Introduction from Leading Safeguarding Partners</w:t>
      </w:r>
    </w:p>
    <w:p w14:paraId="6D85B691" w14:textId="77777777" w:rsidR="001F609F" w:rsidRPr="00202D88" w:rsidRDefault="001F609F" w:rsidP="001F609F">
      <w:pPr>
        <w:rPr>
          <w:color w:val="0070C0"/>
          <w:sz w:val="28"/>
          <w:szCs w:val="28"/>
        </w:rPr>
      </w:pPr>
    </w:p>
    <w:p w14:paraId="7E7C962F" w14:textId="2CE95320" w:rsidR="00434500" w:rsidRPr="00202D88" w:rsidRDefault="00434500" w:rsidP="001F609F">
      <w:pPr>
        <w:pStyle w:val="ListParagraph"/>
        <w:numPr>
          <w:ilvl w:val="0"/>
          <w:numId w:val="14"/>
        </w:numPr>
        <w:rPr>
          <w:color w:val="0070C0"/>
          <w:sz w:val="28"/>
          <w:szCs w:val="28"/>
        </w:rPr>
      </w:pPr>
      <w:r w:rsidRPr="00202D88">
        <w:rPr>
          <w:color w:val="0070C0"/>
          <w:sz w:val="28"/>
          <w:szCs w:val="28"/>
        </w:rPr>
        <w:t xml:space="preserve">About Kirklees </w:t>
      </w:r>
    </w:p>
    <w:p w14:paraId="3644EC89" w14:textId="5B46A096" w:rsidR="00434500" w:rsidRPr="00202D88" w:rsidRDefault="00434500" w:rsidP="00434500">
      <w:pPr>
        <w:pStyle w:val="ListParagraph"/>
        <w:numPr>
          <w:ilvl w:val="0"/>
          <w:numId w:val="11"/>
        </w:numPr>
        <w:rPr>
          <w:color w:val="0070C0"/>
          <w:sz w:val="28"/>
          <w:szCs w:val="28"/>
        </w:rPr>
      </w:pPr>
      <w:r w:rsidRPr="00202D88">
        <w:rPr>
          <w:color w:val="0070C0"/>
          <w:sz w:val="28"/>
          <w:szCs w:val="28"/>
        </w:rPr>
        <w:t>Population Factors</w:t>
      </w:r>
    </w:p>
    <w:p w14:paraId="0D3326E7" w14:textId="3F8B79BA" w:rsidR="00434500" w:rsidRPr="00202D88" w:rsidRDefault="00434500" w:rsidP="00434500">
      <w:pPr>
        <w:pStyle w:val="ListParagraph"/>
        <w:numPr>
          <w:ilvl w:val="0"/>
          <w:numId w:val="11"/>
        </w:numPr>
        <w:rPr>
          <w:color w:val="0070C0"/>
          <w:sz w:val="28"/>
          <w:szCs w:val="28"/>
        </w:rPr>
      </w:pPr>
      <w:r w:rsidRPr="00202D88">
        <w:rPr>
          <w:color w:val="0070C0"/>
          <w:sz w:val="28"/>
          <w:szCs w:val="28"/>
        </w:rPr>
        <w:t>Population Breakdown</w:t>
      </w:r>
    </w:p>
    <w:p w14:paraId="09CAC267" w14:textId="61B8028C" w:rsidR="00434500" w:rsidRPr="00202D88" w:rsidRDefault="00434500" w:rsidP="00434500">
      <w:pPr>
        <w:pStyle w:val="ListParagraph"/>
        <w:numPr>
          <w:ilvl w:val="0"/>
          <w:numId w:val="11"/>
        </w:numPr>
        <w:rPr>
          <w:color w:val="0070C0"/>
          <w:sz w:val="28"/>
          <w:szCs w:val="28"/>
        </w:rPr>
      </w:pPr>
      <w:r w:rsidRPr="00202D88">
        <w:rPr>
          <w:color w:val="0070C0"/>
          <w:sz w:val="28"/>
          <w:szCs w:val="28"/>
        </w:rPr>
        <w:t>Safeguarding Activity</w:t>
      </w:r>
    </w:p>
    <w:p w14:paraId="6B46A819" w14:textId="43C59354" w:rsidR="001F609F" w:rsidRPr="00202D88" w:rsidRDefault="001F609F" w:rsidP="001F609F">
      <w:pPr>
        <w:rPr>
          <w:color w:val="0070C0"/>
          <w:sz w:val="28"/>
          <w:szCs w:val="28"/>
        </w:rPr>
      </w:pPr>
    </w:p>
    <w:p w14:paraId="71E8C497" w14:textId="7871E8D1" w:rsidR="00434500" w:rsidRPr="00202D88" w:rsidRDefault="00434500" w:rsidP="001F609F">
      <w:pPr>
        <w:pStyle w:val="ListParagraph"/>
        <w:numPr>
          <w:ilvl w:val="0"/>
          <w:numId w:val="14"/>
        </w:numPr>
        <w:rPr>
          <w:color w:val="0070C0"/>
          <w:sz w:val="28"/>
          <w:szCs w:val="28"/>
        </w:rPr>
      </w:pPr>
      <w:r w:rsidRPr="00202D88">
        <w:rPr>
          <w:color w:val="0070C0"/>
          <w:sz w:val="28"/>
          <w:szCs w:val="28"/>
        </w:rPr>
        <w:t>KSCP Priorities 2021/2022</w:t>
      </w:r>
    </w:p>
    <w:p w14:paraId="44FD9389" w14:textId="77777777" w:rsidR="001F609F" w:rsidRPr="00202D88" w:rsidRDefault="001F609F" w:rsidP="001F609F">
      <w:pPr>
        <w:rPr>
          <w:color w:val="0070C0"/>
          <w:sz w:val="28"/>
          <w:szCs w:val="28"/>
        </w:rPr>
      </w:pPr>
    </w:p>
    <w:p w14:paraId="24BCF49C" w14:textId="3C8184AC" w:rsidR="00434500" w:rsidRPr="00202D88" w:rsidRDefault="00434500" w:rsidP="001F609F">
      <w:pPr>
        <w:pStyle w:val="ListParagraph"/>
        <w:numPr>
          <w:ilvl w:val="0"/>
          <w:numId w:val="14"/>
        </w:numPr>
        <w:rPr>
          <w:color w:val="0070C0"/>
          <w:sz w:val="28"/>
          <w:szCs w:val="28"/>
        </w:rPr>
      </w:pPr>
      <w:r w:rsidRPr="00202D88">
        <w:rPr>
          <w:color w:val="0070C0"/>
          <w:sz w:val="28"/>
          <w:szCs w:val="28"/>
        </w:rPr>
        <w:t>Governance, Assurance and Oversight</w:t>
      </w:r>
    </w:p>
    <w:p w14:paraId="51CF1143" w14:textId="77777777" w:rsidR="001F609F" w:rsidRPr="00202D88" w:rsidRDefault="001F609F" w:rsidP="001F609F">
      <w:pPr>
        <w:pStyle w:val="ListParagraph"/>
        <w:rPr>
          <w:color w:val="0070C0"/>
          <w:sz w:val="28"/>
          <w:szCs w:val="28"/>
        </w:rPr>
      </w:pPr>
    </w:p>
    <w:p w14:paraId="662B0769" w14:textId="70A1A96A" w:rsidR="00434500" w:rsidRPr="00202D88" w:rsidRDefault="00434500" w:rsidP="001F609F">
      <w:pPr>
        <w:pStyle w:val="ListParagraph"/>
        <w:numPr>
          <w:ilvl w:val="0"/>
          <w:numId w:val="14"/>
        </w:numPr>
        <w:rPr>
          <w:color w:val="0070C0"/>
          <w:sz w:val="28"/>
          <w:szCs w:val="28"/>
        </w:rPr>
      </w:pPr>
      <w:r w:rsidRPr="00202D88">
        <w:rPr>
          <w:color w:val="0070C0"/>
          <w:sz w:val="28"/>
          <w:szCs w:val="28"/>
        </w:rPr>
        <w:t>KSCP Structure</w:t>
      </w:r>
    </w:p>
    <w:p w14:paraId="199AD445" w14:textId="77777777" w:rsidR="001F609F" w:rsidRPr="00202D88" w:rsidRDefault="001F609F" w:rsidP="001F609F">
      <w:pPr>
        <w:pStyle w:val="ListParagraph"/>
        <w:rPr>
          <w:color w:val="0070C0"/>
          <w:sz w:val="28"/>
          <w:szCs w:val="28"/>
        </w:rPr>
      </w:pPr>
    </w:p>
    <w:p w14:paraId="144A301C" w14:textId="457A9F57" w:rsidR="00434500" w:rsidRPr="00202D88" w:rsidRDefault="00434500" w:rsidP="001F609F">
      <w:pPr>
        <w:pStyle w:val="ListParagraph"/>
        <w:numPr>
          <w:ilvl w:val="0"/>
          <w:numId w:val="14"/>
        </w:numPr>
        <w:rPr>
          <w:color w:val="0070C0"/>
          <w:sz w:val="28"/>
          <w:szCs w:val="28"/>
        </w:rPr>
      </w:pPr>
      <w:r w:rsidRPr="00202D88">
        <w:rPr>
          <w:color w:val="0070C0"/>
          <w:sz w:val="28"/>
          <w:szCs w:val="28"/>
        </w:rPr>
        <w:t>Independent Scrutiny:</w:t>
      </w:r>
    </w:p>
    <w:p w14:paraId="7D246647" w14:textId="6CF7D559" w:rsidR="00434500" w:rsidRPr="00202D88" w:rsidRDefault="00434500" w:rsidP="00434500">
      <w:pPr>
        <w:pStyle w:val="ListParagraph"/>
        <w:numPr>
          <w:ilvl w:val="1"/>
          <w:numId w:val="12"/>
        </w:numPr>
        <w:rPr>
          <w:color w:val="0070C0"/>
          <w:sz w:val="28"/>
          <w:szCs w:val="28"/>
        </w:rPr>
      </w:pPr>
      <w:r w:rsidRPr="00202D88">
        <w:rPr>
          <w:color w:val="0070C0"/>
          <w:sz w:val="28"/>
          <w:szCs w:val="28"/>
        </w:rPr>
        <w:t>Independent Scrutineer</w:t>
      </w:r>
    </w:p>
    <w:p w14:paraId="7874B643" w14:textId="7D04BFA9" w:rsidR="00434500" w:rsidRPr="00202D88" w:rsidRDefault="00434500" w:rsidP="00434500">
      <w:pPr>
        <w:pStyle w:val="ListParagraph"/>
        <w:numPr>
          <w:ilvl w:val="1"/>
          <w:numId w:val="12"/>
        </w:numPr>
        <w:rPr>
          <w:color w:val="0070C0"/>
          <w:sz w:val="28"/>
          <w:szCs w:val="28"/>
        </w:rPr>
      </w:pPr>
      <w:r w:rsidRPr="00202D88">
        <w:rPr>
          <w:color w:val="0070C0"/>
          <w:sz w:val="28"/>
          <w:szCs w:val="28"/>
        </w:rPr>
        <w:t>The purpose and expected impact of scrutiny</w:t>
      </w:r>
    </w:p>
    <w:p w14:paraId="30812DF0" w14:textId="727BA846" w:rsidR="00434500" w:rsidRPr="00202D88" w:rsidRDefault="00434500" w:rsidP="00434500">
      <w:pPr>
        <w:pStyle w:val="ListParagraph"/>
        <w:numPr>
          <w:ilvl w:val="1"/>
          <w:numId w:val="12"/>
        </w:numPr>
        <w:rPr>
          <w:color w:val="0070C0"/>
          <w:sz w:val="28"/>
          <w:szCs w:val="28"/>
        </w:rPr>
      </w:pPr>
      <w:r w:rsidRPr="00202D88">
        <w:rPr>
          <w:color w:val="0070C0"/>
          <w:sz w:val="28"/>
          <w:szCs w:val="28"/>
        </w:rPr>
        <w:t>Scrutiny engagement across the system</w:t>
      </w:r>
    </w:p>
    <w:p w14:paraId="7BF53A99" w14:textId="51C5C4A5" w:rsidR="00434500" w:rsidRPr="00202D88" w:rsidRDefault="00434500" w:rsidP="00434500">
      <w:pPr>
        <w:pStyle w:val="ListParagraph"/>
        <w:numPr>
          <w:ilvl w:val="1"/>
          <w:numId w:val="12"/>
        </w:numPr>
        <w:rPr>
          <w:color w:val="0070C0"/>
          <w:sz w:val="28"/>
          <w:szCs w:val="28"/>
        </w:rPr>
      </w:pPr>
      <w:r w:rsidRPr="00202D88">
        <w:rPr>
          <w:color w:val="0070C0"/>
          <w:sz w:val="28"/>
          <w:szCs w:val="28"/>
        </w:rPr>
        <w:t>Why Scrutiny is a priority for Kirklees</w:t>
      </w:r>
    </w:p>
    <w:p w14:paraId="0120F86E" w14:textId="77777777" w:rsidR="001F609F" w:rsidRPr="00202D88" w:rsidRDefault="001F609F" w:rsidP="001F609F">
      <w:pPr>
        <w:ind w:left="360"/>
        <w:rPr>
          <w:color w:val="0070C0"/>
          <w:sz w:val="28"/>
          <w:szCs w:val="28"/>
        </w:rPr>
      </w:pPr>
    </w:p>
    <w:p w14:paraId="30A3DC34" w14:textId="7F83DF78" w:rsidR="00434500" w:rsidRPr="00202D88" w:rsidRDefault="00434500" w:rsidP="001F609F">
      <w:pPr>
        <w:pStyle w:val="ListParagraph"/>
        <w:numPr>
          <w:ilvl w:val="0"/>
          <w:numId w:val="14"/>
        </w:numPr>
        <w:rPr>
          <w:color w:val="0070C0"/>
          <w:sz w:val="28"/>
          <w:szCs w:val="28"/>
        </w:rPr>
      </w:pPr>
      <w:r w:rsidRPr="00202D88">
        <w:rPr>
          <w:color w:val="0070C0"/>
          <w:sz w:val="28"/>
          <w:szCs w:val="28"/>
        </w:rPr>
        <w:t>Subgroups and Task &amp; Finish groups:</w:t>
      </w:r>
    </w:p>
    <w:p w14:paraId="5B923A52" w14:textId="389EB695"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Safeguarding Effectiveness Subgroup</w:t>
      </w:r>
    </w:p>
    <w:p w14:paraId="64D03230" w14:textId="584BAA54"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Section 11 Self Assessment Audit</w:t>
      </w:r>
    </w:p>
    <w:p w14:paraId="22224E61" w14:textId="69D23C2B"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Learning and Development Sub group</w:t>
      </w:r>
    </w:p>
    <w:p w14:paraId="1925AB25" w14:textId="415B2DCA"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Child Safeguarding Practice Review (CSPR) Sub group</w:t>
      </w:r>
    </w:p>
    <w:p w14:paraId="55235DFE" w14:textId="61F87500"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Child Death Overview Panel</w:t>
      </w:r>
    </w:p>
    <w:p w14:paraId="48D9B1EA" w14:textId="13AD59F1"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Exploitation Strategic and Operational Groups</w:t>
      </w:r>
    </w:p>
    <w:p w14:paraId="628B3346" w14:textId="7C603D53"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Policies, Procedures and Guidance Sub Group</w:t>
      </w:r>
    </w:p>
    <w:p w14:paraId="113AF965" w14:textId="131DA3FF" w:rsidR="00434500" w:rsidRPr="00202D88" w:rsidRDefault="00434500" w:rsidP="00220F41">
      <w:pPr>
        <w:pStyle w:val="ListParagraph"/>
        <w:numPr>
          <w:ilvl w:val="1"/>
          <w:numId w:val="20"/>
        </w:numPr>
        <w:ind w:left="1080"/>
        <w:rPr>
          <w:color w:val="0070C0"/>
          <w:sz w:val="28"/>
          <w:szCs w:val="28"/>
        </w:rPr>
      </w:pPr>
      <w:r w:rsidRPr="00202D88">
        <w:rPr>
          <w:color w:val="0070C0"/>
          <w:sz w:val="28"/>
          <w:szCs w:val="28"/>
        </w:rPr>
        <w:t>Domestic Abuse impact on Children</w:t>
      </w:r>
    </w:p>
    <w:p w14:paraId="290E7479" w14:textId="77777777" w:rsidR="001F609F" w:rsidRPr="00202D88" w:rsidRDefault="001F609F" w:rsidP="00220F41">
      <w:pPr>
        <w:ind w:left="-720"/>
        <w:rPr>
          <w:color w:val="0070C0"/>
          <w:sz w:val="28"/>
          <w:szCs w:val="28"/>
        </w:rPr>
      </w:pPr>
    </w:p>
    <w:p w14:paraId="049CC2C3" w14:textId="76F0AFF3" w:rsidR="00434500" w:rsidRPr="00202D88" w:rsidRDefault="00434500" w:rsidP="001F609F">
      <w:pPr>
        <w:pStyle w:val="ListParagraph"/>
        <w:numPr>
          <w:ilvl w:val="0"/>
          <w:numId w:val="14"/>
        </w:numPr>
        <w:rPr>
          <w:color w:val="0070C0"/>
          <w:sz w:val="28"/>
          <w:szCs w:val="28"/>
        </w:rPr>
      </w:pPr>
      <w:r w:rsidRPr="00202D88">
        <w:rPr>
          <w:color w:val="0070C0"/>
          <w:sz w:val="28"/>
          <w:szCs w:val="28"/>
        </w:rPr>
        <w:t>Budget</w:t>
      </w:r>
    </w:p>
    <w:p w14:paraId="0A9B0799" w14:textId="77777777" w:rsidR="001F609F" w:rsidRPr="001F609F" w:rsidRDefault="001F609F" w:rsidP="001F609F">
      <w:pPr>
        <w:rPr>
          <w:sz w:val="28"/>
          <w:szCs w:val="28"/>
        </w:rPr>
      </w:pPr>
    </w:p>
    <w:p w14:paraId="58B1F837" w14:textId="3B599688" w:rsidR="00434500" w:rsidRPr="00202D88" w:rsidRDefault="001F609F" w:rsidP="001F609F">
      <w:pPr>
        <w:pStyle w:val="ListParagraph"/>
        <w:numPr>
          <w:ilvl w:val="0"/>
          <w:numId w:val="14"/>
        </w:numPr>
        <w:rPr>
          <w:color w:val="0070C0"/>
          <w:sz w:val="28"/>
          <w:szCs w:val="28"/>
        </w:rPr>
      </w:pPr>
      <w:r w:rsidRPr="00202D88">
        <w:rPr>
          <w:color w:val="0070C0"/>
          <w:sz w:val="28"/>
          <w:szCs w:val="28"/>
        </w:rPr>
        <w:lastRenderedPageBreak/>
        <w:t>O</w:t>
      </w:r>
      <w:r w:rsidR="00434500" w:rsidRPr="00202D88">
        <w:rPr>
          <w:color w:val="0070C0"/>
          <w:sz w:val="28"/>
          <w:szCs w:val="28"/>
        </w:rPr>
        <w:t>ther achievements</w:t>
      </w:r>
    </w:p>
    <w:p w14:paraId="41301980" w14:textId="6D4F2235" w:rsidR="00434500" w:rsidRDefault="00434500"/>
    <w:p w14:paraId="0FE03BE0" w14:textId="2865B427" w:rsidR="00434500" w:rsidRDefault="00434500"/>
    <w:p w14:paraId="59CC5E2A" w14:textId="7E951DE0" w:rsidR="00F96982" w:rsidRPr="001F609F" w:rsidRDefault="00F96982" w:rsidP="00561BB2">
      <w:pPr>
        <w:pStyle w:val="Title"/>
        <w:numPr>
          <w:ilvl w:val="0"/>
          <w:numId w:val="15"/>
        </w:numPr>
        <w:jc w:val="left"/>
        <w:rPr>
          <w:rFonts w:asciiTheme="minorHAnsi" w:hAnsiTheme="minorHAnsi" w:cstheme="minorHAnsi"/>
          <w:sz w:val="40"/>
          <w:szCs w:val="40"/>
        </w:rPr>
      </w:pPr>
      <w:r w:rsidRPr="00110CC1">
        <w:rPr>
          <w:rFonts w:asciiTheme="minorHAnsi" w:hAnsiTheme="minorHAnsi" w:cstheme="minorHAnsi"/>
          <w:color w:val="548DD4" w:themeColor="text2" w:themeTint="99"/>
          <w:sz w:val="40"/>
          <w:szCs w:val="40"/>
        </w:rPr>
        <w:t>Introduction from Leading Safeguarding Partners</w:t>
      </w:r>
    </w:p>
    <w:p w14:paraId="72DE5046" w14:textId="159685CD" w:rsidR="00F96982" w:rsidRPr="001F609F" w:rsidRDefault="00F96982">
      <w:pPr>
        <w:rPr>
          <w:rFonts w:eastAsiaTheme="majorEastAsia" w:cstheme="minorHAnsi"/>
          <w:b/>
          <w:bCs/>
          <w:color w:val="EA157A"/>
          <w:kern w:val="24"/>
        </w:rPr>
      </w:pPr>
    </w:p>
    <w:p w14:paraId="15693763" w14:textId="77777777" w:rsidR="00F96982" w:rsidRPr="001F609F" w:rsidRDefault="00F96982" w:rsidP="00B86393">
      <w:pPr>
        <w:pStyle w:val="Heading1"/>
        <w:rPr>
          <w:rFonts w:asciiTheme="minorHAnsi" w:hAnsiTheme="minorHAnsi" w:cstheme="minorHAnsi"/>
        </w:rPr>
      </w:pPr>
      <w:r w:rsidRPr="001F609F">
        <w:rPr>
          <w:rFonts w:asciiTheme="minorHAnsi" w:eastAsiaTheme="minorEastAsia" w:hAnsiTheme="minorHAnsi" w:cstheme="minorHAnsi"/>
        </w:rPr>
        <w:t>Message from Children Social Care, Kirklees</w:t>
      </w:r>
    </w:p>
    <w:p w14:paraId="007E7FA6"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Kirklees is committed as an Authority to improving the outcomes for all our young people and children. We remain focused on ensuring that our children are safe, have the best start in life and aspire and achieve.  We enjoy ongoing political and organisational support to deliver our key outcomes and priorities.</w:t>
      </w:r>
    </w:p>
    <w:p w14:paraId="0FF3BD01"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Our approach remains to get the basics right and to work strategically with our partners to create the conditions for success. In this way we can develop sustainable and resilient services which appropriately support and help families and children as early as possible. </w:t>
      </w:r>
    </w:p>
    <w:p w14:paraId="14A67D99"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We remain on an improvement journey, and I believe we have made further significant progress since our last Inspection of Local Authority Children’s Services in 2019. Our most recent focused visit from Ofsted (October 2021) was extremely positive highlighting, “Continuously ambitious and effective senior leaders have created a culture where strong social work practice improves outcomes for children in care who are in need of permanence.  Skilled and committed social workers provide sensitive, child-centred practice to children and their carers.”  We recognise and understand, however, that there is always more to be done to improve our services. </w:t>
      </w:r>
    </w:p>
    <w:p w14:paraId="522D1855"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In 2021-22 in ensuring that are fundamentals work well, we have significantly strengthened our Early Support work through our Families Together programme. Following consultation with children, young people and families over the summer holidays the chosen name for the ‘Family Hub’ model going forward is ‘Families Together’.  A launch event is planned for spring 2022 to ensure that key stakeholders are aware of the new name and progress around the developments of the Family Hub model. </w:t>
      </w:r>
    </w:p>
    <w:p w14:paraId="5C6064F2"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lastRenderedPageBreak/>
        <w:t>A fundamental element of the model is that it is outcomes based with work underway to develop an integrated shared outcomes framework with key partners. The most appropriate tools are being identified to enable us to measure the impact.</w:t>
      </w:r>
    </w:p>
    <w:p w14:paraId="790D7F16"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We continue to strengthen our child protection services and our response to concerns raised with us. We understand, for example, the importance of robust Front Door arrangements. We have further enhanced and strengthened our arrangements, building on the progress that was identified in 2019. Our Front Door is fully staffed and has a stable management team. There has been continual investment in the training and development of the staff and the processes within the front door, and the quality of the service provided is under regular review, to ensure children and families receive the most appropriate intervention at the right time. </w:t>
      </w:r>
    </w:p>
    <w:p w14:paraId="15D173C5"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Kirklees is passionate about its role as a Corporate Parent and the services and support it provides to children in care. We recognise that the young people we have responsibility for should have the same opportunities and chances that their peers experience and it is our aspiration to make sure this happens. We believe that our improvement recognised in the 2019 Ofsted ILACS has been maintained particularly in the services for children who are looked after. </w:t>
      </w:r>
    </w:p>
    <w:p w14:paraId="1F52FAF3"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Our recent Ofsted focus visit complemented the service on its “</w:t>
      </w:r>
      <w:r w:rsidRPr="001F609F">
        <w:rPr>
          <w:rFonts w:asciiTheme="minorHAnsi" w:eastAsiaTheme="minorEastAsia" w:hAnsiTheme="minorHAnsi" w:cstheme="minorHAnsi"/>
          <w:i/>
          <w:iCs/>
          <w:color w:val="000000" w:themeColor="text1"/>
          <w:kern w:val="24"/>
          <w:sz w:val="32"/>
          <w:szCs w:val="32"/>
        </w:rPr>
        <w:t>strong focus on direct work, which is helping children develop relationships with their social workers. Social workers know their children extremely well. They visit children in accordance with their needs and wishes, even through the pandemic</w:t>
      </w:r>
      <w:r w:rsidRPr="001F609F">
        <w:rPr>
          <w:rFonts w:asciiTheme="minorHAnsi" w:eastAsiaTheme="minorEastAsia" w:hAnsiTheme="minorHAnsi" w:cstheme="minorHAnsi"/>
          <w:color w:val="000000" w:themeColor="text1"/>
          <w:kern w:val="24"/>
          <w:sz w:val="32"/>
          <w:szCs w:val="32"/>
        </w:rPr>
        <w:t>.”</w:t>
      </w:r>
    </w:p>
    <w:p w14:paraId="4D720076"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We have continued to develop our early identification and response for those at risk. The Youth Engagement Service (YES) is at the centre of this work, providing more effective coordination of resources with partners to contribute to the earlier identification and understanding of children and young people at risk of exploitation. </w:t>
      </w:r>
    </w:p>
    <w:p w14:paraId="4A97CC29" w14:textId="77777777" w:rsidR="00F96982" w:rsidRPr="001F609F" w:rsidRDefault="00F96982">
      <w:pPr>
        <w:rPr>
          <w:rFonts w:eastAsiaTheme="majorEastAsia" w:cstheme="minorHAnsi"/>
          <w:b/>
          <w:bCs/>
          <w:color w:val="EA157A"/>
          <w:kern w:val="24"/>
          <w:sz w:val="32"/>
          <w:szCs w:val="32"/>
        </w:rPr>
      </w:pPr>
    </w:p>
    <w:p w14:paraId="38D2B26B"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lastRenderedPageBreak/>
        <w:t xml:space="preserve">An inspection of Kirklees Youth Justice Service (YJS), by HM Inspectorate of Probation, has given the service an overall rating of ‘Requires improvement’. Clearly, we were disappointed with this outcome.  The timing of the inspection and the cases reviewed corresponded with improvement work being undertaken by the service and the issues identified by inspectors were already known and being addressed.  We are pleased that the inspection identified many areas of good practice and impact across the service. </w:t>
      </w:r>
    </w:p>
    <w:p w14:paraId="06137D47"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Our improvement plan in response to the Inspection has been accepted and the inspection report confirmed that the measures that were already in place were moving the Service in the right direction. The development and improvement recommendations from both inspections are already being addressed.</w:t>
      </w:r>
    </w:p>
    <w:p w14:paraId="34B9CE6E"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Part of the sustained investment in Children’s Services has been the development of our Youth Places To Go programme.  There will be an investment of up to £1million in new youth services to ensure that every child and young person in the district can access safe places, learning opportunities and fun activities. The scheme will lead to the development of new facilities and the extension of those already in place across the district.</w:t>
      </w:r>
    </w:p>
    <w:p w14:paraId="5731304B"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Reflecting our commitment to partnership working, the investment will be used to provide grants to local organisations, who would expand and run youth services on behalf of the council. Mobile or “Pop Up” projects are at the centre of the plans, so that young people in the most rural areas of the district can be reached as well. There are also plans to help young people from marginalised groups such as those with disabilities or special educational needs, so that they can also get involved. We are also scoping out plans for two new Youth Places To Go centres – one in Huddersfield and one in North Kirklees.</w:t>
      </w:r>
    </w:p>
    <w:p w14:paraId="44E39450"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Kirklees launched its SEND (Special Educational Needs and Disabilities) Transformation Plan in 2021. The plan presented our partnership vision in Kirklees as “Children and Young People is that they have the best start in life. Our aspirations for children and young </w:t>
      </w:r>
      <w:r w:rsidRPr="001F609F">
        <w:rPr>
          <w:rFonts w:asciiTheme="minorHAnsi" w:eastAsiaTheme="minorEastAsia" w:hAnsiTheme="minorHAnsi" w:cstheme="minorHAnsi"/>
          <w:color w:val="000000" w:themeColor="text1"/>
          <w:kern w:val="24"/>
          <w:sz w:val="32"/>
          <w:szCs w:val="32"/>
        </w:rPr>
        <w:lastRenderedPageBreak/>
        <w:t xml:space="preserve">people with SEND are not different to all children and this receives the highest priority from all our partners. We are proud of the partnerships that are at the heart of services and understand that our successes are based on working with families building on their strengths.” Our work has focused on ensuring that this change programme delivers sustainable and consistent improvements across a range of SEND services. </w:t>
      </w:r>
    </w:p>
    <w:p w14:paraId="69BD997A"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Theme="minorHAnsi" w:eastAsiaTheme="minorEastAsia" w:hAnsiTheme="minorHAnsi" w:cstheme="minorHAnsi"/>
          <w:color w:val="000000" w:themeColor="text1"/>
          <w:kern w:val="24"/>
          <w:sz w:val="32"/>
          <w:szCs w:val="32"/>
        </w:rPr>
        <w:t xml:space="preserve">We had an inspection of SEND services in February 2022. This was a wider area partnership inspection and not just of local authority services. At the time of writing the formal outcome for this inspection has still to be published. Across the partnership we have taken an open and honest approach to our progress, and this was in part captured in the inspection.  As a partnership which includes our </w:t>
      </w:r>
      <w:r w:rsidRPr="001F609F">
        <w:rPr>
          <w:rFonts w:ascii="Calibri" w:eastAsiaTheme="minorEastAsia" w:hAnsi="Calibri" w:cs="Calibri"/>
          <w:color w:val="000000" w:themeColor="text1"/>
          <w:kern w:val="24"/>
          <w:sz w:val="32"/>
          <w:szCs w:val="32"/>
        </w:rPr>
        <w:t>Parent and Carer Forum (PCAN) we outlined to inspectors the very real strengths of Kirklees as well as the areas that needed further development. We expect inspectors will identify two area of significant weakness which will result in a formal Written Statement of Action (WSoA):</w:t>
      </w:r>
    </w:p>
    <w:p w14:paraId="29B5C40C"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 xml:space="preserve">The poor delivery of the HCP which does not support the identification of SEND in children at the earliest opportunity consistently. </w:t>
      </w:r>
    </w:p>
    <w:p w14:paraId="3D2EDB53"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 xml:space="preserve">Weaknesses in the area’s ability across services and within settings to identify and meet the needs of children and young people with SEND who are in mainstream settings. </w:t>
      </w:r>
    </w:p>
    <w:p w14:paraId="49A0C642" w14:textId="18040C7E" w:rsidR="00F96982" w:rsidRPr="001F609F" w:rsidRDefault="00F96982" w:rsidP="00F96982">
      <w:pPr>
        <w:pStyle w:val="NormalWeb"/>
        <w:spacing w:before="86" w:beforeAutospacing="0" w:after="120" w:afterAutospacing="0"/>
        <w:rPr>
          <w:rFonts w:ascii="Calibri" w:eastAsiaTheme="minorEastAsia" w:hAnsi="Calibri" w:cs="Calibri"/>
          <w:color w:val="000000" w:themeColor="text1"/>
          <w:kern w:val="24"/>
          <w:sz w:val="32"/>
          <w:szCs w:val="32"/>
        </w:rPr>
      </w:pPr>
      <w:r w:rsidRPr="001F609F">
        <w:rPr>
          <w:rFonts w:ascii="Calibri" w:eastAsiaTheme="minorEastAsia" w:hAnsi="Calibri" w:cs="Calibri"/>
          <w:color w:val="000000" w:themeColor="text1"/>
          <w:kern w:val="24"/>
          <w:sz w:val="32"/>
          <w:szCs w:val="32"/>
        </w:rPr>
        <w:t xml:space="preserve">We will provide our formal response to the inspection in the form of a WSoA when the report is published. </w:t>
      </w:r>
    </w:p>
    <w:p w14:paraId="359E4E26" w14:textId="77777777" w:rsidR="00F96982" w:rsidRPr="00F96982" w:rsidRDefault="00F96982" w:rsidP="00F96982">
      <w:pPr>
        <w:pStyle w:val="NormalWeb"/>
        <w:spacing w:before="86" w:beforeAutospacing="0" w:after="120" w:afterAutospacing="0"/>
        <w:rPr>
          <w:rFonts w:ascii="Calibri" w:hAnsi="Calibri" w:cs="Calibri"/>
          <w:sz w:val="32"/>
          <w:szCs w:val="32"/>
        </w:rPr>
      </w:pPr>
      <w:r w:rsidRPr="00F96982">
        <w:rPr>
          <w:rFonts w:ascii="Calibri" w:hAnsi="Calibri" w:cs="Calibri"/>
          <w:sz w:val="32"/>
          <w:szCs w:val="32"/>
        </w:rPr>
        <w:t xml:space="preserve">The Council has recently committed to a long-term Learning Strategy to take our system through to 2030. Known as Our Kirklees Futures, it is a system-led, collaborative approach to improving outcomes, inspiring learners, raising, and realising aspirations and ensuring that Kirklees is a centre of teaching and learning excellence across the lifelong learning journey. </w:t>
      </w:r>
    </w:p>
    <w:p w14:paraId="1528CB78" w14:textId="77777777" w:rsidR="00F96982" w:rsidRPr="00F96982" w:rsidRDefault="00F96982" w:rsidP="00F96982">
      <w:pPr>
        <w:pStyle w:val="NormalWeb"/>
        <w:spacing w:before="86" w:beforeAutospacing="0" w:after="120" w:afterAutospacing="0"/>
        <w:rPr>
          <w:rFonts w:ascii="Calibri" w:hAnsi="Calibri" w:cs="Calibri"/>
          <w:sz w:val="32"/>
          <w:szCs w:val="32"/>
        </w:rPr>
      </w:pPr>
      <w:r w:rsidRPr="00F96982">
        <w:rPr>
          <w:rFonts w:ascii="Calibri" w:hAnsi="Calibri" w:cs="Calibri"/>
          <w:sz w:val="32"/>
          <w:szCs w:val="32"/>
        </w:rPr>
        <w:lastRenderedPageBreak/>
        <w:t>Representatives from the early years, schools, post 16 provision, alternative and specialist provision as well as the wider partnership have been involved at every level of the development of the strategy, and a central element Our Kirklees Futures is a commitment for everyone to work together on long-term actions to meet our shared goals. This will inevitably have an impact on how we invest and focus work to meet key outcomes, with all elements of the lifelong learning system working together to address shared challenges.</w:t>
      </w:r>
    </w:p>
    <w:p w14:paraId="6E600780" w14:textId="59126EE4"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hAnsi="Calibri" w:cs="Calibri"/>
          <w:sz w:val="32"/>
          <w:szCs w:val="32"/>
        </w:rPr>
        <w:t>Our Kirklees Futures sets out the direction of travel as to how we will achieve our ambition and the principles that underline the approach. It provides a starting point from which to continue to work collaboratively and to assess impact.</w:t>
      </w:r>
    </w:p>
    <w:p w14:paraId="2F85B95C"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We have reviewed the arrangements of how we hold all services areas and partners to account and ensure appropriate independent challenge. We have established an Ambition Board which brings together key partners as well Kirklees council representatives. The purpose of the Ambition is as follows:</w:t>
      </w:r>
    </w:p>
    <w:p w14:paraId="3824C8D4"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To offer High Support and Challenge to Children’s Services improvement activity, including measuring the impact of improvement activity in Children’s Early Support and Social Care, SEND and Education and Learning, so that Children experience the best start in life.</w:t>
      </w:r>
    </w:p>
    <w:p w14:paraId="76392EA6"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To ensure strategic alignment between planned improvement activity, the Partnership and Corporate Plan to create the right environment and conditions in Kirklees for children, young people and their families to thrive.</w:t>
      </w:r>
    </w:p>
    <w:p w14:paraId="0ABF9B02"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To ensure Best Practice and Innovation drives continuous whole system improvement.</w:t>
      </w:r>
    </w:p>
    <w:p w14:paraId="73AA4336"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To ensure improvement activity maintains a focus on early intervention and primary prevention.</w:t>
      </w:r>
    </w:p>
    <w:p w14:paraId="65E16441"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w:t>
      </w:r>
      <w:r w:rsidRPr="001F609F">
        <w:rPr>
          <w:rFonts w:ascii="Calibri" w:eastAsiaTheme="minorEastAsia" w:hAnsi="Calibri" w:cs="Calibri"/>
          <w:color w:val="000000" w:themeColor="text1"/>
          <w:kern w:val="24"/>
          <w:sz w:val="32"/>
          <w:szCs w:val="32"/>
        </w:rPr>
        <w:tab/>
        <w:t xml:space="preserve">To ensure a “Catch before they fall” approach to Service performance that keeps children safe and improves their life chances. </w:t>
      </w:r>
    </w:p>
    <w:p w14:paraId="12CFF259"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lastRenderedPageBreak/>
        <w:t>The Ambition Board has created an environment and framework where partners hold each to account in a restorative manner, collectively seeking to work together to drive through change and sustain improvement.</w:t>
      </w:r>
    </w:p>
    <w:p w14:paraId="007D939D" w14:textId="77777777" w:rsidR="00F96982" w:rsidRPr="001F609F" w:rsidRDefault="00F96982" w:rsidP="00F96982">
      <w:pPr>
        <w:pStyle w:val="NormalWeb"/>
        <w:spacing w:before="86" w:beforeAutospacing="0" w:after="120" w:afterAutospacing="0"/>
        <w:rPr>
          <w:rFonts w:ascii="Calibri" w:hAnsi="Calibri" w:cs="Calibri"/>
          <w:sz w:val="32"/>
          <w:szCs w:val="32"/>
        </w:rPr>
      </w:pPr>
      <w:r w:rsidRPr="001F609F">
        <w:rPr>
          <w:rFonts w:ascii="Calibri" w:eastAsiaTheme="minorEastAsia" w:hAnsi="Calibri" w:cs="Calibri"/>
          <w:color w:val="000000" w:themeColor="text1"/>
          <w:kern w:val="24"/>
          <w:sz w:val="32"/>
          <w:szCs w:val="32"/>
        </w:rPr>
        <w:t xml:space="preserve">We understand that 2022 - 2023 will be no less busy with a number of changes and challenges. Nationally, there are major reviews developing of Social Care, and Special Educational Needs and Disability which will impact on all aspects of how we deliver and organise our services. As with other local authorities we face emerging financial pressures on our resources and capacity, and we are actively planning how we respond to this. </w:t>
      </w:r>
    </w:p>
    <w:p w14:paraId="6C9491C6"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I am confident in the ability of our workforce to meet these and other challenges and continue the progress we have made in the last year. </w:t>
      </w:r>
    </w:p>
    <w:p w14:paraId="1AA94B6D"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Mel Meggs </w:t>
      </w:r>
    </w:p>
    <w:p w14:paraId="6BBF423A"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 xml:space="preserve">Strategic Director of Children’s Service </w:t>
      </w:r>
    </w:p>
    <w:p w14:paraId="235C9CAA" w14:textId="77777777" w:rsidR="00F96982" w:rsidRPr="001F609F" w:rsidRDefault="00F96982" w:rsidP="00F96982">
      <w:pPr>
        <w:pStyle w:val="NormalWeb"/>
        <w:spacing w:before="86" w:beforeAutospacing="0" w:after="120" w:afterAutospacing="0"/>
        <w:rPr>
          <w:rFonts w:asciiTheme="minorHAnsi" w:hAnsiTheme="minorHAnsi" w:cstheme="minorHAnsi"/>
          <w:sz w:val="32"/>
          <w:szCs w:val="32"/>
        </w:rPr>
      </w:pPr>
      <w:r w:rsidRPr="001F609F">
        <w:rPr>
          <w:rFonts w:asciiTheme="minorHAnsi" w:eastAsiaTheme="minorEastAsia" w:hAnsiTheme="minorHAnsi" w:cstheme="minorHAnsi"/>
          <w:color w:val="000000" w:themeColor="text1"/>
          <w:kern w:val="24"/>
          <w:sz w:val="32"/>
          <w:szCs w:val="32"/>
        </w:rPr>
        <w:t>Kirklees</w:t>
      </w:r>
    </w:p>
    <w:p w14:paraId="6C774408" w14:textId="20F8D9A8" w:rsidR="00F96982" w:rsidRPr="00F96982" w:rsidRDefault="00F96982">
      <w:pPr>
        <w:rPr>
          <w:rFonts w:ascii="Arial" w:hAnsi="Arial" w:cs="Arial"/>
        </w:rPr>
      </w:pPr>
    </w:p>
    <w:p w14:paraId="14D56877" w14:textId="48B80016" w:rsidR="00F96982" w:rsidRPr="00F96982" w:rsidRDefault="00F96982" w:rsidP="001F609F">
      <w:pPr>
        <w:pStyle w:val="Heading1"/>
        <w:numPr>
          <w:ilvl w:val="0"/>
          <w:numId w:val="16"/>
        </w:numPr>
      </w:pPr>
      <w:r w:rsidRPr="00F96982">
        <w:t>Message from the Kirklees Clinical Commissioning Group</w:t>
      </w:r>
    </w:p>
    <w:p w14:paraId="5A155FFE" w14:textId="77777777" w:rsidR="00F96982" w:rsidRPr="00F96982" w:rsidRDefault="00F96982" w:rsidP="00F96982">
      <w:pPr>
        <w:rPr>
          <w:rFonts w:ascii="Arial" w:hAnsi="Arial" w:cs="Arial"/>
        </w:rPr>
      </w:pPr>
    </w:p>
    <w:p w14:paraId="0110670C"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 xml:space="preserve">NHS Kirklees Clinical Commissioning Group (CCG) is a membership organisation consisting of 64 general practices. Our purpose is to improve the health and well-being of the estimated 439,787 people living in Kirklees and/ or registered with a Kirklees GP practice. </w:t>
      </w:r>
    </w:p>
    <w:p w14:paraId="6D4DEDAE"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 xml:space="preserve">As a CCG we work with patients, health and social care partners, such as local hospitals, local authorities and local community group, to focus on services meeting the local needs. </w:t>
      </w:r>
    </w:p>
    <w:p w14:paraId="61A42080"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Improving the health and well-being of our local population is achieved by working collaboratively with our partners and stakeholders to:</w:t>
      </w:r>
    </w:p>
    <w:p w14:paraId="707FB047"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w:t>
      </w:r>
      <w:r w:rsidRPr="00F96982">
        <w:rPr>
          <w:rFonts w:ascii="Calibri" w:hAnsi="Calibri" w:cs="Calibri"/>
          <w:sz w:val="32"/>
          <w:szCs w:val="32"/>
        </w:rPr>
        <w:tab/>
        <w:t xml:space="preserve">Keep children, young people, and their families as safe as possible. </w:t>
      </w:r>
    </w:p>
    <w:p w14:paraId="6D9A9591"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lastRenderedPageBreak/>
        <w:t>•</w:t>
      </w:r>
      <w:r w:rsidRPr="00F96982">
        <w:rPr>
          <w:rFonts w:ascii="Calibri" w:hAnsi="Calibri" w:cs="Calibri"/>
          <w:sz w:val="32"/>
          <w:szCs w:val="32"/>
        </w:rPr>
        <w:tab/>
        <w:t>Deliver high quality, personalised care, which is equitable care for all, reducing inequalities now and into the future.</w:t>
      </w:r>
    </w:p>
    <w:p w14:paraId="5E68CC97"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w:t>
      </w:r>
      <w:r w:rsidRPr="00F96982">
        <w:rPr>
          <w:rFonts w:ascii="Calibri" w:hAnsi="Calibri" w:cs="Calibri"/>
          <w:sz w:val="32"/>
          <w:szCs w:val="32"/>
        </w:rPr>
        <w:tab/>
        <w:t xml:space="preserve">Ensure best value from all the available resources, focussing on financial sustainability and upholding the wider principles of the NHS Constitution. </w:t>
      </w:r>
    </w:p>
    <w:p w14:paraId="757DB2DD" w14:textId="77777777" w:rsidR="00F96982" w:rsidRPr="00F96982" w:rsidRDefault="00F96982" w:rsidP="00F96982">
      <w:pPr>
        <w:rPr>
          <w:rFonts w:ascii="Calibri" w:hAnsi="Calibri" w:cs="Calibri"/>
          <w:sz w:val="32"/>
          <w:szCs w:val="32"/>
        </w:rPr>
      </w:pPr>
      <w:r w:rsidRPr="00F96982">
        <w:rPr>
          <w:rFonts w:ascii="Calibri" w:hAnsi="Calibri" w:cs="Calibri"/>
          <w:sz w:val="32"/>
          <w:szCs w:val="32"/>
        </w:rPr>
        <w:t>•</w:t>
      </w:r>
      <w:r w:rsidRPr="00F96982">
        <w:rPr>
          <w:rFonts w:ascii="Calibri" w:hAnsi="Calibri" w:cs="Calibri"/>
          <w:sz w:val="32"/>
          <w:szCs w:val="32"/>
        </w:rPr>
        <w:tab/>
        <w:t xml:space="preserve">Keep continually improving the quality of care. </w:t>
      </w:r>
    </w:p>
    <w:p w14:paraId="05C2BC8E" w14:textId="304A07C7" w:rsidR="00F96982" w:rsidRPr="001F609F" w:rsidRDefault="00F96982" w:rsidP="00F96982">
      <w:pPr>
        <w:rPr>
          <w:rFonts w:ascii="Calibri" w:hAnsi="Calibri" w:cs="Calibri"/>
          <w:sz w:val="32"/>
          <w:szCs w:val="32"/>
        </w:rPr>
      </w:pPr>
      <w:r w:rsidRPr="001F609F">
        <w:rPr>
          <w:rFonts w:ascii="Calibri" w:hAnsi="Calibri" w:cs="Calibri"/>
          <w:sz w:val="32"/>
          <w:szCs w:val="32"/>
        </w:rPr>
        <w:t>•</w:t>
      </w:r>
      <w:r w:rsidRPr="001F609F">
        <w:rPr>
          <w:rFonts w:ascii="Calibri" w:hAnsi="Calibri" w:cs="Calibri"/>
          <w:sz w:val="32"/>
          <w:szCs w:val="32"/>
        </w:rPr>
        <w:tab/>
        <w:t>Support people to maintain a healthy lifestyle.</w:t>
      </w:r>
    </w:p>
    <w:p w14:paraId="231919D6" w14:textId="1500F798" w:rsidR="00F96982" w:rsidRPr="001F609F" w:rsidRDefault="00F96982" w:rsidP="00F96982">
      <w:pPr>
        <w:rPr>
          <w:rFonts w:ascii="Calibri" w:hAnsi="Calibri" w:cs="Calibri"/>
          <w:sz w:val="32"/>
          <w:szCs w:val="32"/>
        </w:rPr>
      </w:pPr>
    </w:p>
    <w:p w14:paraId="61273551" w14:textId="3352273F" w:rsidR="00F96982" w:rsidRPr="001F609F" w:rsidRDefault="00F96982" w:rsidP="00F96982">
      <w:pPr>
        <w:rPr>
          <w:rFonts w:ascii="Calibri" w:hAnsi="Calibri" w:cs="Calibri"/>
          <w:sz w:val="32"/>
          <w:szCs w:val="32"/>
        </w:rPr>
      </w:pPr>
      <w:r w:rsidRPr="001F609F">
        <w:rPr>
          <w:rFonts w:ascii="Calibri" w:hAnsi="Calibri" w:cs="Calibri"/>
          <w:sz w:val="32"/>
          <w:szCs w:val="32"/>
        </w:rPr>
        <w:t xml:space="preserve">Safeguarding is a priority within the core statutory duties of all organisations across the health economy in Kirklees. It remains the responsibility of every NHS-funded organisation, and each individual healthcare professional working in the NHS, to ensure that the statutory duties and principles of safeguarding children are holistically, consistently, and conscientiously applied. The well-being of those children and their families is at the heart of everything we do. </w:t>
      </w:r>
      <w:r w:rsidRPr="001F609F">
        <w:rPr>
          <w:rFonts w:ascii="Calibri" w:hAnsi="Calibri" w:cs="Calibri"/>
          <w:sz w:val="32"/>
          <w:szCs w:val="32"/>
        </w:rPr>
        <w:br/>
        <w:t xml:space="preserve">Every NHS funded organisation needs to ensure that sufficient resources are in place for them to fulfil their statutory duties. Each organisation should regularly review their arrangements to ensure that they are working effectively. Organisations need to fully co-operate and work together. The CCG as commissioners of local health services, have processes in place to seek assurance that local organisations that are commissioned have effective statutory safeguarding arrangements in place. </w:t>
      </w:r>
      <w:r w:rsidRPr="001F609F">
        <w:rPr>
          <w:rFonts w:ascii="Calibri" w:hAnsi="Calibri" w:cs="Calibri"/>
          <w:sz w:val="32"/>
          <w:szCs w:val="32"/>
        </w:rPr>
        <w:br/>
        <w:t>As a CCG, our designated safeguarding experts (for children, children in care and adults), are embedded in the clinical decision-making of the organisation, with the authority to work within local health economies and safeguarding partners to influence local thinking and practice. The CCG demonstrates its compliance of this through an Annual Report to its Governing Body.</w:t>
      </w:r>
    </w:p>
    <w:p w14:paraId="71B87C04" w14:textId="4D7AA761" w:rsidR="00F96982" w:rsidRPr="001F609F" w:rsidRDefault="00F96982" w:rsidP="00F96982">
      <w:pPr>
        <w:rPr>
          <w:rFonts w:ascii="Calibri" w:hAnsi="Calibri" w:cs="Calibri"/>
          <w:sz w:val="32"/>
          <w:szCs w:val="32"/>
        </w:rPr>
      </w:pPr>
    </w:p>
    <w:p w14:paraId="75740CE0" w14:textId="7B6397D8" w:rsidR="00F96982" w:rsidRPr="001F609F" w:rsidRDefault="00F96982" w:rsidP="00F96982">
      <w:pPr>
        <w:rPr>
          <w:rFonts w:ascii="Calibri" w:hAnsi="Calibri" w:cs="Calibri"/>
          <w:sz w:val="32"/>
          <w:szCs w:val="32"/>
        </w:rPr>
      </w:pPr>
      <w:r w:rsidRPr="001F609F">
        <w:rPr>
          <w:rFonts w:ascii="Calibri" w:hAnsi="Calibri" w:cs="Calibri"/>
          <w:sz w:val="32"/>
          <w:szCs w:val="32"/>
        </w:rPr>
        <w:t xml:space="preserve">During this reporting period of 2021/22 it has proved itself to be another challenging year due to the ongoing impact from the pandemic that has spanned across all our local multi-agency services. Throughout this period the CCG has continued to work </w:t>
      </w:r>
      <w:r w:rsidRPr="001F609F">
        <w:rPr>
          <w:rFonts w:ascii="Calibri" w:hAnsi="Calibri" w:cs="Calibri"/>
          <w:sz w:val="32"/>
          <w:szCs w:val="32"/>
        </w:rPr>
        <w:lastRenderedPageBreak/>
        <w:t xml:space="preserve">collaboratively with health and multi-agency partners in Kirklees to deliver the statutory safeguarding functions and continued to undertake opportunities to proactively consider wider local and national matters that may influence safeguarding arrangements.  </w:t>
      </w:r>
      <w:r w:rsidRPr="001F609F">
        <w:rPr>
          <w:rFonts w:ascii="Calibri" w:hAnsi="Calibri" w:cs="Calibri"/>
          <w:sz w:val="32"/>
          <w:szCs w:val="32"/>
        </w:rPr>
        <w:br/>
        <w:t xml:space="preserve">The Health Assurance and Improvement Group (HAIG) has continued during this reporting period and supports the CCG in working with a wide range of health providers operating in Kirklees in a coordinated way. The group provides strategic oversight, assurance, improvement, and the scrutiny of safeguarding children arrangements across the local health economy. It provides a direct route of communication and line of sight to the Executive Health lead of the CCG and representative on the KSCP Executive group. This group remains focussed on achieving a consistent, proactive and responsive approach to meeting the needs of children who require safeguarding interventions. It supports the CCG and KSCP in fulfilling their statutory duties. </w:t>
      </w:r>
      <w:r w:rsidRPr="001F609F">
        <w:rPr>
          <w:rFonts w:ascii="Calibri" w:hAnsi="Calibri" w:cs="Calibri"/>
          <w:sz w:val="32"/>
          <w:szCs w:val="32"/>
        </w:rPr>
        <w:br/>
      </w:r>
    </w:p>
    <w:p w14:paraId="36C5364D" w14:textId="4F3C0971" w:rsidR="00F96982" w:rsidRPr="001F609F" w:rsidRDefault="00F96982" w:rsidP="00434500">
      <w:pPr>
        <w:rPr>
          <w:rFonts w:ascii="Calibri" w:hAnsi="Calibri" w:cs="Calibri"/>
          <w:sz w:val="32"/>
          <w:szCs w:val="32"/>
        </w:rPr>
      </w:pPr>
      <w:r w:rsidRPr="001F609F">
        <w:rPr>
          <w:rFonts w:ascii="Calibri" w:hAnsi="Calibri" w:cs="Calibri"/>
          <w:sz w:val="32"/>
          <w:szCs w:val="32"/>
        </w:rPr>
        <w:t>Key highlights for 2021/22:</w:t>
      </w:r>
      <w:r w:rsidRPr="001F609F">
        <w:rPr>
          <w:rFonts w:ascii="Calibri" w:hAnsi="Calibri" w:cs="Calibri"/>
          <w:sz w:val="32"/>
          <w:szCs w:val="32"/>
        </w:rPr>
        <w:br/>
        <w:t xml:space="preserve">Below are listed some key highlights from across the health economy in Kirklees, it is by no means exhaustive but demonstrates the diversity in the work undertaken. </w:t>
      </w:r>
      <w:r w:rsidRPr="001F609F">
        <w:rPr>
          <w:rFonts w:ascii="Calibri" w:hAnsi="Calibri" w:cs="Calibri"/>
          <w:sz w:val="32"/>
          <w:szCs w:val="32"/>
        </w:rPr>
        <w:br/>
      </w:r>
      <w:r w:rsidRPr="001F609F">
        <w:rPr>
          <w:rFonts w:ascii="Calibri" w:hAnsi="Calibri" w:cs="Calibri"/>
          <w:sz w:val="32"/>
          <w:szCs w:val="32"/>
        </w:rPr>
        <w:tab/>
      </w:r>
      <w:r w:rsidRPr="001F609F">
        <w:rPr>
          <w:rFonts w:ascii="Calibri" w:hAnsi="Calibri" w:cs="Calibri"/>
          <w:sz w:val="32"/>
          <w:szCs w:val="32"/>
        </w:rPr>
        <w:br/>
        <w:t xml:space="preserve"> •</w:t>
      </w:r>
      <w:r w:rsidRPr="001F609F">
        <w:rPr>
          <w:rFonts w:ascii="Calibri" w:hAnsi="Calibri" w:cs="Calibri"/>
          <w:sz w:val="32"/>
          <w:szCs w:val="32"/>
        </w:rPr>
        <w:tab/>
        <w:t>Domestic Abuse Task and Finish Group into the response to Domestic Abuse’ by Multi- Agency Partners – co-supported by the CCG and KSCP.</w:t>
      </w:r>
      <w:r w:rsidRPr="001F609F">
        <w:rPr>
          <w:rFonts w:ascii="Calibri" w:hAnsi="Calibri" w:cs="Calibri"/>
          <w:sz w:val="32"/>
          <w:szCs w:val="32"/>
        </w:rPr>
        <w:br/>
        <w:t>•</w:t>
      </w:r>
      <w:r w:rsidRPr="001F609F">
        <w:rPr>
          <w:rFonts w:ascii="Calibri" w:hAnsi="Calibri" w:cs="Calibri"/>
          <w:sz w:val="32"/>
          <w:szCs w:val="32"/>
        </w:rPr>
        <w:tab/>
        <w:t>Continued contribution to the CDOP quarterly report and supporting the receipt of health information to enable cases to be progressed.</w:t>
      </w:r>
      <w:r w:rsidRPr="001F609F">
        <w:rPr>
          <w:rFonts w:ascii="Calibri" w:hAnsi="Calibri" w:cs="Calibri"/>
          <w:sz w:val="32"/>
          <w:szCs w:val="32"/>
        </w:rPr>
        <w:br/>
        <w:t>•</w:t>
      </w:r>
      <w:r w:rsidRPr="001F609F">
        <w:rPr>
          <w:rFonts w:ascii="Calibri" w:hAnsi="Calibri" w:cs="Calibri"/>
          <w:sz w:val="32"/>
          <w:szCs w:val="32"/>
        </w:rPr>
        <w:tab/>
        <w:t>Continued oversight of the 0-19 / GP Practice meetings engagement in collaboration with CCG PCN Manager and 0-19 Team Leader and Midwifery leads from MYHT and CHFT.</w:t>
      </w:r>
      <w:r w:rsidRPr="001F609F">
        <w:rPr>
          <w:rFonts w:ascii="Calibri" w:hAnsi="Calibri" w:cs="Calibri"/>
          <w:sz w:val="32"/>
          <w:szCs w:val="32"/>
        </w:rPr>
        <w:br/>
        <w:t>•</w:t>
      </w:r>
      <w:r w:rsidRPr="001F609F">
        <w:rPr>
          <w:rFonts w:ascii="Calibri" w:hAnsi="Calibri" w:cs="Calibri"/>
          <w:sz w:val="32"/>
          <w:szCs w:val="32"/>
        </w:rPr>
        <w:tab/>
        <w:t>Development of a Best Practice Guidance document for GP / 0-19 Practice meetings and development of CCG Good Practice Guide for Documenting Safeguarding Information</w:t>
      </w:r>
      <w:r w:rsidRPr="001F609F">
        <w:rPr>
          <w:rFonts w:ascii="Calibri" w:hAnsi="Calibri" w:cs="Calibri"/>
          <w:sz w:val="32"/>
          <w:szCs w:val="32"/>
        </w:rPr>
        <w:br/>
        <w:t>•</w:t>
      </w:r>
      <w:r w:rsidRPr="001F609F">
        <w:rPr>
          <w:rFonts w:ascii="Calibri" w:hAnsi="Calibri" w:cs="Calibri"/>
          <w:sz w:val="32"/>
          <w:szCs w:val="32"/>
        </w:rPr>
        <w:tab/>
        <w:t xml:space="preserve">Health Pathway development and wider work to support the </w:t>
      </w:r>
      <w:r w:rsidRPr="001F609F">
        <w:rPr>
          <w:rFonts w:ascii="Calibri" w:hAnsi="Calibri" w:cs="Calibri"/>
          <w:sz w:val="32"/>
          <w:szCs w:val="32"/>
        </w:rPr>
        <w:lastRenderedPageBreak/>
        <w:t>non - recent Child Exploitation disclosure workstream</w:t>
      </w:r>
      <w:r w:rsidRPr="001F609F">
        <w:rPr>
          <w:rFonts w:ascii="Calibri" w:hAnsi="Calibri" w:cs="Calibri"/>
          <w:sz w:val="32"/>
          <w:szCs w:val="32"/>
        </w:rPr>
        <w:br/>
        <w:t>•</w:t>
      </w:r>
      <w:r w:rsidRPr="001F609F">
        <w:rPr>
          <w:rFonts w:ascii="Calibri" w:hAnsi="Calibri" w:cs="Calibri"/>
          <w:sz w:val="32"/>
          <w:szCs w:val="32"/>
        </w:rPr>
        <w:tab/>
        <w:t xml:space="preserve">GP’s have continued to participate in the GP Safeguarding Leads meeting facilitated by the CCG Named GP’s so that they continued to receive safeguarding case study learning from across the partnership.  </w:t>
      </w:r>
      <w:r w:rsidRPr="001F609F">
        <w:rPr>
          <w:rFonts w:ascii="Calibri" w:hAnsi="Calibri" w:cs="Calibri"/>
          <w:sz w:val="32"/>
          <w:szCs w:val="32"/>
        </w:rPr>
        <w:br/>
        <w:t>•</w:t>
      </w:r>
      <w:r w:rsidRPr="001F609F">
        <w:rPr>
          <w:rFonts w:ascii="Calibri" w:hAnsi="Calibri" w:cs="Calibri"/>
          <w:sz w:val="32"/>
          <w:szCs w:val="32"/>
        </w:rPr>
        <w:tab/>
        <w:t xml:space="preserve">Development of 7-minute briefings included case studies on Was Not Brought, Eating Disorders and Safeguarding and Female Genital Mutilation. </w:t>
      </w:r>
      <w:r w:rsidRPr="001F609F">
        <w:rPr>
          <w:rFonts w:ascii="Calibri" w:hAnsi="Calibri" w:cs="Calibri"/>
          <w:sz w:val="32"/>
          <w:szCs w:val="32"/>
        </w:rPr>
        <w:br/>
      </w:r>
    </w:p>
    <w:p w14:paraId="4D4325B7" w14:textId="28490F57" w:rsidR="00F96982" w:rsidRPr="001F609F" w:rsidRDefault="00F96982" w:rsidP="00F96982">
      <w:pPr>
        <w:rPr>
          <w:rFonts w:ascii="Calibri" w:hAnsi="Calibri" w:cs="Calibri"/>
          <w:sz w:val="32"/>
          <w:szCs w:val="32"/>
        </w:rPr>
      </w:pPr>
      <w:r w:rsidRPr="001F609F">
        <w:rPr>
          <w:rFonts w:ascii="Calibri" w:hAnsi="Calibri" w:cs="Calibri"/>
          <w:sz w:val="32"/>
          <w:szCs w:val="32"/>
        </w:rPr>
        <w:t>Looking forward to the future, we recognise this phase of significant change, underpinned by the reforms in the Health and Care Act.</w:t>
      </w:r>
      <w:r w:rsidRPr="001F609F">
        <w:rPr>
          <w:rFonts w:ascii="Calibri" w:hAnsi="Calibri" w:cs="Calibri"/>
          <w:sz w:val="32"/>
          <w:szCs w:val="32"/>
        </w:rPr>
        <w:br/>
        <w:t xml:space="preserve">As the transition is embedded from the CCG to Kirklees Health and Care Partnership (KHCP) from the 1st July 2022, and as part of the wider West Yorkshire Integrated Care Board arrangements our continued commitment to lead, collaborate and drive forward statutory safeguarding place arrangements will remain in firm focus.  We recognise the future opportunities in ensuring our local arrangements align with the wider West Yorkshire priorities to provide a safe system built on our shared priorities of patient centred care and partner collaboration to meet the needs of our local communities and wider WY region.  </w:t>
      </w:r>
      <w:r w:rsidRPr="001F609F">
        <w:rPr>
          <w:rFonts w:ascii="Calibri" w:hAnsi="Calibri" w:cs="Calibri"/>
          <w:sz w:val="32"/>
          <w:szCs w:val="32"/>
        </w:rPr>
        <w:br/>
      </w:r>
      <w:r w:rsidRPr="001F609F">
        <w:rPr>
          <w:rFonts w:ascii="Calibri" w:hAnsi="Calibri" w:cs="Calibri"/>
          <w:sz w:val="32"/>
          <w:szCs w:val="32"/>
        </w:rPr>
        <w:br/>
        <w:t xml:space="preserve">Penny Woodhead </w:t>
      </w:r>
      <w:r w:rsidRPr="001F609F">
        <w:rPr>
          <w:rFonts w:ascii="Calibri" w:hAnsi="Calibri" w:cs="Calibri"/>
          <w:sz w:val="32"/>
          <w:szCs w:val="32"/>
        </w:rPr>
        <w:br/>
        <w:t xml:space="preserve">Chief Quality and Nursing Officer/ Deputy Chief Officer </w:t>
      </w:r>
      <w:r w:rsidRPr="001F609F">
        <w:rPr>
          <w:rFonts w:ascii="Calibri" w:hAnsi="Calibri" w:cs="Calibri"/>
          <w:sz w:val="32"/>
          <w:szCs w:val="32"/>
        </w:rPr>
        <w:br/>
        <w:t xml:space="preserve">NHS Kirklees CCG </w:t>
      </w:r>
      <w:r w:rsidRPr="001F609F">
        <w:rPr>
          <w:rFonts w:ascii="Calibri" w:hAnsi="Calibri" w:cs="Calibri"/>
          <w:sz w:val="32"/>
          <w:szCs w:val="32"/>
        </w:rPr>
        <w:br/>
      </w:r>
    </w:p>
    <w:p w14:paraId="1EA5FE6B" w14:textId="0AF91798" w:rsidR="00F96982" w:rsidRPr="00F96982" w:rsidRDefault="00F96982" w:rsidP="001F609F">
      <w:pPr>
        <w:pStyle w:val="Heading1"/>
        <w:numPr>
          <w:ilvl w:val="0"/>
          <w:numId w:val="17"/>
        </w:numPr>
      </w:pPr>
      <w:r w:rsidRPr="00F96982">
        <w:t>Message from West Yorkshire Police</w:t>
      </w:r>
    </w:p>
    <w:p w14:paraId="611E1959" w14:textId="77777777" w:rsidR="00F96982" w:rsidRPr="00F96982" w:rsidRDefault="00F96982" w:rsidP="00F96982">
      <w:pPr>
        <w:rPr>
          <w:rFonts w:ascii="Arial" w:hAnsi="Arial" w:cs="Arial"/>
        </w:rPr>
      </w:pPr>
    </w:p>
    <w:p w14:paraId="5ABF5A4D" w14:textId="77777777" w:rsidR="00F96982" w:rsidRPr="00F96982" w:rsidRDefault="00F96982" w:rsidP="00F96982">
      <w:pPr>
        <w:rPr>
          <w:rFonts w:cstheme="minorHAnsi"/>
          <w:sz w:val="32"/>
          <w:szCs w:val="32"/>
        </w:rPr>
      </w:pPr>
      <w:r w:rsidRPr="00F96982">
        <w:rPr>
          <w:rFonts w:cstheme="minorHAnsi"/>
          <w:sz w:val="32"/>
          <w:szCs w:val="32"/>
        </w:rPr>
        <w:t xml:space="preserve">As the Fourth largest Police Force in the Country, West Yorkshire Police faces a number of complex Policing challenges. With higher than average demand both in terms of calls for service and in recorded crime levels, we work in partnership with five local authorities. Beyond the county of West Yorkshire, we also collaborate across the Yorkshire and Humber Region and wider </w:t>
      </w:r>
      <w:r w:rsidRPr="00F96982">
        <w:rPr>
          <w:rFonts w:cstheme="minorHAnsi"/>
          <w:sz w:val="32"/>
          <w:szCs w:val="32"/>
        </w:rPr>
        <w:lastRenderedPageBreak/>
        <w:t>North Eastern region, particularly in response to threats of counter terrorism and organised criminality.</w:t>
      </w:r>
    </w:p>
    <w:p w14:paraId="79F8162F" w14:textId="7511E6B1" w:rsidR="00F96982" w:rsidRPr="00F96982" w:rsidRDefault="00F96982" w:rsidP="00F96982">
      <w:pPr>
        <w:rPr>
          <w:rFonts w:cstheme="minorHAnsi"/>
          <w:sz w:val="32"/>
          <w:szCs w:val="32"/>
        </w:rPr>
      </w:pPr>
      <w:r w:rsidRPr="00F96982">
        <w:rPr>
          <w:rFonts w:cstheme="minorHAnsi"/>
          <w:sz w:val="32"/>
          <w:szCs w:val="32"/>
        </w:rPr>
        <w:t>During the most recent HMICFRS Police Inspection on Effectiveness, Efficiencies and Legitimacy in 2021, the Force was seen as highly performing. The highest grade of 'Outstanding' was achieved in four categories to add to the 'Outstanding' the Force has previously achieved for crime recording. The Force was graded as 'Good for Protecting Vulnerable People'</w:t>
      </w:r>
      <w:r w:rsidR="000C150D">
        <w:rPr>
          <w:rFonts w:cstheme="minorHAnsi"/>
          <w:sz w:val="32"/>
          <w:szCs w:val="32"/>
        </w:rPr>
        <w:t>.</w:t>
      </w:r>
    </w:p>
    <w:p w14:paraId="3D77FD97" w14:textId="77777777" w:rsidR="00F96982" w:rsidRPr="00F96982" w:rsidRDefault="00F96982" w:rsidP="00F96982">
      <w:pPr>
        <w:rPr>
          <w:rFonts w:cstheme="minorHAnsi"/>
          <w:sz w:val="32"/>
          <w:szCs w:val="32"/>
        </w:rPr>
      </w:pPr>
      <w:r w:rsidRPr="00F96982">
        <w:rPr>
          <w:rFonts w:cstheme="minorHAnsi"/>
          <w:sz w:val="32"/>
          <w:szCs w:val="32"/>
        </w:rPr>
        <w:t xml:space="preserve"> Our neighbourhood Policing model lies at the at the heart of our service delivery. It is underpinned by local response, crime investigation and safeguarding functions. Neighbourhood policing is supported centrally by specialist operational and crime capabilities which all combine together to meet our Policing Purposes within the West Yorkshire Policing Strategy. The three key areas of focus within that strategy being 'Reducing Crime, Protecting Vulnerable People and Reassuring the Public'. This aims to deliver in conjunction with the Mayor's Police and Crime Plan.</w:t>
      </w:r>
    </w:p>
    <w:p w14:paraId="3F484EB7" w14:textId="77777777" w:rsidR="00F96982" w:rsidRPr="00F96982" w:rsidRDefault="00F96982" w:rsidP="00F96982">
      <w:pPr>
        <w:rPr>
          <w:rFonts w:cstheme="minorHAnsi"/>
          <w:sz w:val="32"/>
          <w:szCs w:val="32"/>
        </w:rPr>
      </w:pPr>
      <w:r w:rsidRPr="00F96982">
        <w:rPr>
          <w:rFonts w:cstheme="minorHAnsi"/>
          <w:sz w:val="32"/>
          <w:szCs w:val="32"/>
        </w:rPr>
        <w:t xml:space="preserve"> More Specifically, the Protecting Vulnerable People strand of our strategy is central to the Police and Crime Plan Priority of 'Keeping People Safe and Building Resilience'. Safety of Women and Girls was one of the 10 Mayoral Pledges and is a cross cutting issue in the Police and Crime Plan.</w:t>
      </w:r>
    </w:p>
    <w:p w14:paraId="557329B9" w14:textId="77777777" w:rsidR="00F96982" w:rsidRPr="00F96982" w:rsidRDefault="00F96982" w:rsidP="00F96982">
      <w:pPr>
        <w:rPr>
          <w:rFonts w:cstheme="minorHAnsi"/>
          <w:sz w:val="32"/>
          <w:szCs w:val="32"/>
        </w:rPr>
      </w:pPr>
      <w:r w:rsidRPr="00F96982">
        <w:rPr>
          <w:rFonts w:cstheme="minorHAnsi"/>
          <w:sz w:val="32"/>
          <w:szCs w:val="32"/>
        </w:rPr>
        <w:t>The West Yorkshire Violence Reduction Unit has continued in its efforts to tackle serious violent crime through a unique public heath-led approach, bringing together organisations across local communities to tackle underlying causes and funding vital local projects that undertake positive preventative work with children and young people. The unit has a partnership emphasis, with specialists from health, police, local authorities, education, youth justice, prisons, probation, community groups and others aiming to cut violence together through early intervention, prevention, and education.</w:t>
      </w:r>
    </w:p>
    <w:p w14:paraId="3E147067" w14:textId="77777777" w:rsidR="00F96982" w:rsidRPr="00F96982" w:rsidRDefault="00F96982" w:rsidP="00F96982">
      <w:pPr>
        <w:rPr>
          <w:rFonts w:cstheme="minorHAnsi"/>
          <w:sz w:val="32"/>
          <w:szCs w:val="32"/>
        </w:rPr>
      </w:pPr>
      <w:r w:rsidRPr="00F96982">
        <w:rPr>
          <w:rFonts w:cstheme="minorHAnsi"/>
          <w:sz w:val="32"/>
          <w:szCs w:val="32"/>
        </w:rPr>
        <w:t xml:space="preserve"> A Force wide review of safeguarding arrangements has increased resourcing levels locally and allowed more focus to deal with increases in demand safeguarding. It has also allowed local </w:t>
      </w:r>
      <w:r w:rsidRPr="00F96982">
        <w:rPr>
          <w:rFonts w:cstheme="minorHAnsi"/>
          <w:sz w:val="32"/>
          <w:szCs w:val="32"/>
        </w:rPr>
        <w:lastRenderedPageBreak/>
        <w:t>investigators to identify often hidden demand in areas such as so called honour based violence, forced marriage and modern day slavery.</w:t>
      </w:r>
    </w:p>
    <w:p w14:paraId="31290339" w14:textId="77777777" w:rsidR="00F96982" w:rsidRPr="00F96982" w:rsidRDefault="00F96982" w:rsidP="00F96982">
      <w:pPr>
        <w:rPr>
          <w:rFonts w:cstheme="minorHAnsi"/>
          <w:sz w:val="32"/>
          <w:szCs w:val="32"/>
        </w:rPr>
      </w:pPr>
      <w:r w:rsidRPr="00F96982">
        <w:rPr>
          <w:rFonts w:cstheme="minorHAnsi"/>
          <w:sz w:val="32"/>
          <w:szCs w:val="32"/>
        </w:rPr>
        <w:t xml:space="preserve"> On a local level, Multi Agency Safeguarding Arrangements are supported by local Strategic Leaders to develop strong partnerships. This commitment is reflected in the ongoing engagement and dedication shown by all Kirklees partners in coming together under those Child Safeguarding Partnership arrangements. </w:t>
      </w:r>
    </w:p>
    <w:p w14:paraId="0D6D7974" w14:textId="678D72CC" w:rsidR="00F96982" w:rsidRPr="00F96982" w:rsidRDefault="00F96982" w:rsidP="00F96982">
      <w:pPr>
        <w:rPr>
          <w:rFonts w:cstheme="minorHAnsi"/>
          <w:sz w:val="32"/>
          <w:szCs w:val="32"/>
        </w:rPr>
      </w:pPr>
      <w:r w:rsidRPr="00F96982">
        <w:rPr>
          <w:rFonts w:cstheme="minorHAnsi"/>
          <w:sz w:val="32"/>
          <w:szCs w:val="32"/>
        </w:rPr>
        <w:t xml:space="preserve"> On a daily basis across Kirklees Police Officers respond and investigate matters involving mental health, missing persons, Domestic Abuse, online safety, radicalisation and child safety concerns. We work hard within the partnership to try and prevent harm and reduce risk, working with the voluntary sector to support victims and develop our early intervention strategy to solve problems at an early stage.</w:t>
      </w:r>
    </w:p>
    <w:p w14:paraId="3BD8FF27" w14:textId="77777777" w:rsidR="00F96982" w:rsidRPr="00F96982" w:rsidRDefault="00F96982" w:rsidP="00F96982">
      <w:pPr>
        <w:rPr>
          <w:rFonts w:cstheme="minorHAnsi"/>
          <w:sz w:val="32"/>
          <w:szCs w:val="32"/>
        </w:rPr>
      </w:pPr>
    </w:p>
    <w:p w14:paraId="0EC154DC" w14:textId="77777777" w:rsidR="00F96982" w:rsidRPr="00F96982" w:rsidRDefault="00F96982" w:rsidP="00F96982">
      <w:pPr>
        <w:rPr>
          <w:rFonts w:cstheme="minorHAnsi"/>
          <w:sz w:val="32"/>
          <w:szCs w:val="32"/>
        </w:rPr>
      </w:pPr>
      <w:r w:rsidRPr="00F96982">
        <w:rPr>
          <w:rFonts w:cstheme="minorHAnsi"/>
          <w:sz w:val="32"/>
          <w:szCs w:val="32"/>
        </w:rPr>
        <w:t>James Griffiths</w:t>
      </w:r>
    </w:p>
    <w:p w14:paraId="29E13FA9" w14:textId="77777777" w:rsidR="00F96982" w:rsidRPr="00F96982" w:rsidRDefault="00F96982" w:rsidP="00F96982">
      <w:pPr>
        <w:rPr>
          <w:rFonts w:cstheme="minorHAnsi"/>
          <w:sz w:val="32"/>
          <w:szCs w:val="32"/>
        </w:rPr>
      </w:pPr>
      <w:r w:rsidRPr="00F96982">
        <w:rPr>
          <w:rFonts w:cstheme="minorHAnsi"/>
          <w:sz w:val="32"/>
          <w:szCs w:val="32"/>
        </w:rPr>
        <w:t>Chief Superintendent</w:t>
      </w:r>
    </w:p>
    <w:p w14:paraId="4153F1AA" w14:textId="77777777" w:rsidR="00F96982" w:rsidRPr="00F96982" w:rsidRDefault="00F96982" w:rsidP="00F96982">
      <w:pPr>
        <w:rPr>
          <w:rFonts w:cstheme="minorHAnsi"/>
          <w:sz w:val="32"/>
          <w:szCs w:val="32"/>
        </w:rPr>
      </w:pPr>
      <w:r w:rsidRPr="00F96982">
        <w:rPr>
          <w:rFonts w:cstheme="minorHAnsi"/>
          <w:sz w:val="32"/>
          <w:szCs w:val="32"/>
        </w:rPr>
        <w:t>District Commander</w:t>
      </w:r>
    </w:p>
    <w:p w14:paraId="15DE40A5" w14:textId="565305B3" w:rsidR="00F96982" w:rsidRPr="001F609F" w:rsidRDefault="00F96982" w:rsidP="00F96982">
      <w:pPr>
        <w:rPr>
          <w:rFonts w:cstheme="minorHAnsi"/>
          <w:sz w:val="32"/>
          <w:szCs w:val="32"/>
        </w:rPr>
      </w:pPr>
      <w:r w:rsidRPr="001F609F">
        <w:rPr>
          <w:rFonts w:cstheme="minorHAnsi"/>
          <w:sz w:val="32"/>
          <w:szCs w:val="32"/>
        </w:rPr>
        <w:t>Kirklees District</w:t>
      </w:r>
    </w:p>
    <w:p w14:paraId="4A0E8A61" w14:textId="2ADF89B9" w:rsidR="00F96982" w:rsidRDefault="00F96982" w:rsidP="00F96982">
      <w:pPr>
        <w:rPr>
          <w:rFonts w:ascii="Arial" w:hAnsi="Arial" w:cs="Arial"/>
        </w:rPr>
      </w:pPr>
    </w:p>
    <w:p w14:paraId="7EA65B57" w14:textId="77777777" w:rsidR="00F96982" w:rsidRDefault="00F96982" w:rsidP="00F96982">
      <w:pPr>
        <w:rPr>
          <w:rFonts w:ascii="Arial" w:hAnsi="Arial" w:cs="Arial"/>
        </w:rPr>
      </w:pPr>
    </w:p>
    <w:p w14:paraId="76AF9B5C" w14:textId="77777777" w:rsidR="00F96982" w:rsidRDefault="00F96982" w:rsidP="00F96982">
      <w:pPr>
        <w:rPr>
          <w:rFonts w:ascii="Arial" w:hAnsi="Arial" w:cs="Arial"/>
        </w:rPr>
      </w:pPr>
    </w:p>
    <w:p w14:paraId="5CB359EB" w14:textId="226CCA8F" w:rsidR="00F96982" w:rsidRPr="00561BB2" w:rsidRDefault="00220F41" w:rsidP="00561BB2">
      <w:pPr>
        <w:pStyle w:val="Title"/>
        <w:ind w:left="360"/>
        <w:jc w:val="left"/>
        <w:rPr>
          <w:rFonts w:asciiTheme="minorHAnsi" w:hAnsiTheme="minorHAnsi" w:cstheme="minorHAnsi"/>
          <w:color w:val="548DD4" w:themeColor="text2" w:themeTint="99"/>
          <w:sz w:val="40"/>
          <w:szCs w:val="40"/>
        </w:rPr>
      </w:pPr>
      <w:r w:rsidRPr="00561BB2">
        <w:rPr>
          <w:rFonts w:asciiTheme="minorHAnsi" w:hAnsiTheme="minorHAnsi" w:cstheme="minorHAnsi"/>
          <w:color w:val="548DD4" w:themeColor="text2" w:themeTint="99"/>
          <w:sz w:val="40"/>
          <w:szCs w:val="40"/>
        </w:rPr>
        <w:t xml:space="preserve">2. </w:t>
      </w:r>
      <w:r w:rsidR="00F96982" w:rsidRPr="00561BB2">
        <w:rPr>
          <w:rFonts w:asciiTheme="minorHAnsi" w:hAnsiTheme="minorHAnsi" w:cstheme="minorHAnsi"/>
          <w:color w:val="548DD4" w:themeColor="text2" w:themeTint="99"/>
          <w:sz w:val="40"/>
          <w:szCs w:val="40"/>
        </w:rPr>
        <w:t xml:space="preserve">About Kirklees </w:t>
      </w:r>
    </w:p>
    <w:p w14:paraId="0B5EBA8D" w14:textId="4C275C48" w:rsidR="00F96982" w:rsidRDefault="00F96982" w:rsidP="00F96982">
      <w:pPr>
        <w:rPr>
          <w:rFonts w:ascii="Arial" w:hAnsi="Arial" w:cs="Arial"/>
        </w:rPr>
      </w:pPr>
    </w:p>
    <w:p w14:paraId="6E05D28C" w14:textId="77777777" w:rsidR="00F96982" w:rsidRPr="00F96982" w:rsidRDefault="00F96982" w:rsidP="00F96982">
      <w:pPr>
        <w:rPr>
          <w:rFonts w:cstheme="minorHAnsi"/>
          <w:sz w:val="32"/>
          <w:szCs w:val="32"/>
        </w:rPr>
      </w:pPr>
      <w:r w:rsidRPr="00F96982">
        <w:rPr>
          <w:rFonts w:cstheme="minorHAnsi"/>
          <w:sz w:val="32"/>
          <w:szCs w:val="32"/>
        </w:rPr>
        <w:t>The Metropolitan Borough of Kirklees is one of five Local Authorities in West Yorkshire. It covers an area of 157 square miles and has a population of around 433,300 of which 23% are aged 0 to 17 (nationally 23.6%). The district emerged from local government re-organisation in 1974 and is made up of eleven former local authority Boroughs and Districts in the former West Riding of Yorkshire.</w:t>
      </w:r>
    </w:p>
    <w:p w14:paraId="706B3673" w14:textId="77777777" w:rsidR="00F96982" w:rsidRPr="00F96982" w:rsidRDefault="00F96982" w:rsidP="00F96982">
      <w:pPr>
        <w:rPr>
          <w:rFonts w:cstheme="minorHAnsi"/>
          <w:sz w:val="32"/>
          <w:szCs w:val="32"/>
        </w:rPr>
      </w:pPr>
      <w:r w:rsidRPr="00F96982">
        <w:rPr>
          <w:rFonts w:cstheme="minorHAnsi"/>
          <w:sz w:val="32"/>
          <w:szCs w:val="32"/>
        </w:rPr>
        <w:t>It has three distinct areas:</w:t>
      </w:r>
    </w:p>
    <w:p w14:paraId="5C14C1B4" w14:textId="77777777" w:rsidR="00F96982" w:rsidRPr="00F96982" w:rsidRDefault="00F96982" w:rsidP="00F96982">
      <w:pPr>
        <w:rPr>
          <w:rFonts w:cstheme="minorHAnsi"/>
          <w:sz w:val="32"/>
          <w:szCs w:val="32"/>
        </w:rPr>
      </w:pPr>
      <w:r w:rsidRPr="00F96982">
        <w:rPr>
          <w:rFonts w:cstheme="minorHAnsi"/>
          <w:sz w:val="32"/>
          <w:szCs w:val="32"/>
        </w:rPr>
        <w:t>*North Kirklees, which includes the urban centres of Mirfield, Dewsbury, Batley and Cleckheaton along with the more rural Spen Valley:</w:t>
      </w:r>
    </w:p>
    <w:p w14:paraId="2357EDD6" w14:textId="77777777" w:rsidR="00F96982" w:rsidRPr="00F96982" w:rsidRDefault="00F96982" w:rsidP="00F96982">
      <w:pPr>
        <w:rPr>
          <w:rFonts w:cstheme="minorHAnsi"/>
          <w:sz w:val="32"/>
          <w:szCs w:val="32"/>
        </w:rPr>
      </w:pPr>
      <w:r w:rsidRPr="00F96982">
        <w:rPr>
          <w:rFonts w:cstheme="minorHAnsi"/>
          <w:sz w:val="32"/>
          <w:szCs w:val="32"/>
        </w:rPr>
        <w:lastRenderedPageBreak/>
        <w:t>*Huddersfield; the largest town in Kirklees with around 143,907 residents</w:t>
      </w:r>
    </w:p>
    <w:p w14:paraId="7F4BDD3E" w14:textId="77777777" w:rsidR="00F96982" w:rsidRPr="00F96982" w:rsidRDefault="00F96982" w:rsidP="00F96982">
      <w:pPr>
        <w:rPr>
          <w:rFonts w:cstheme="minorHAnsi"/>
          <w:sz w:val="32"/>
          <w:szCs w:val="32"/>
        </w:rPr>
      </w:pPr>
      <w:r w:rsidRPr="00F96982">
        <w:rPr>
          <w:rFonts w:cstheme="minorHAnsi"/>
          <w:sz w:val="32"/>
          <w:szCs w:val="32"/>
        </w:rPr>
        <w:t xml:space="preserve">*The rural and semi-rural area south and west of Huddersfield, including small towns such as </w:t>
      </w:r>
    </w:p>
    <w:p w14:paraId="1D0C24AE" w14:textId="4AFCD0F6" w:rsidR="00F96982" w:rsidRPr="001F609F" w:rsidRDefault="00F96982" w:rsidP="00F96982">
      <w:pPr>
        <w:rPr>
          <w:rFonts w:cstheme="minorHAnsi"/>
          <w:sz w:val="32"/>
          <w:szCs w:val="32"/>
        </w:rPr>
      </w:pPr>
      <w:r w:rsidRPr="00F96982">
        <w:rPr>
          <w:rFonts w:cstheme="minorHAnsi"/>
          <w:sz w:val="32"/>
          <w:szCs w:val="32"/>
        </w:rPr>
        <w:t xml:space="preserve">Holmfirth, Meltham, Skelmanthorpe, Kirkburton, Slaithwaite, Marsden, Honley and Denby </w:t>
      </w:r>
      <w:r w:rsidRPr="001F609F">
        <w:rPr>
          <w:rFonts w:cstheme="minorHAnsi"/>
          <w:sz w:val="32"/>
          <w:szCs w:val="32"/>
        </w:rPr>
        <w:t>Dale.</w:t>
      </w:r>
    </w:p>
    <w:p w14:paraId="5FE958D0" w14:textId="16010F89" w:rsidR="00F96982" w:rsidRDefault="00F96982" w:rsidP="00F96982">
      <w:pPr>
        <w:rPr>
          <w:rFonts w:ascii="Arial" w:hAnsi="Arial" w:cs="Arial"/>
        </w:rPr>
      </w:pPr>
    </w:p>
    <w:p w14:paraId="41BDCACB" w14:textId="66525432" w:rsidR="00F96982" w:rsidRDefault="00C308C6" w:rsidP="00F96982">
      <w:pPr>
        <w:rPr>
          <w:rFonts w:ascii="Arial" w:hAnsi="Arial" w:cs="Arial"/>
        </w:rPr>
      </w:pPr>
      <w:hyperlink r:id="rId8" w:anchor="/view-report/63aeddf1d7fc44b8b4dffcd868e84eac/___iaFirstFeature/G3" w:history="1">
        <w:r w:rsidR="00F96982" w:rsidRPr="00F96982">
          <w:rPr>
            <w:rStyle w:val="Hyperlink"/>
            <w:rFonts w:ascii="Arial" w:hAnsi="Arial" w:cs="Arial"/>
          </w:rPr>
          <w:t>Full Report</w:t>
        </w:r>
      </w:hyperlink>
    </w:p>
    <w:p w14:paraId="7F74EFC8" w14:textId="441FC1E5" w:rsidR="00F96982" w:rsidRDefault="00F96982" w:rsidP="00F96982">
      <w:pPr>
        <w:rPr>
          <w:rFonts w:ascii="Arial" w:hAnsi="Arial" w:cs="Arial"/>
        </w:rPr>
      </w:pPr>
    </w:p>
    <w:p w14:paraId="115E39F2" w14:textId="77777777" w:rsidR="00F96982" w:rsidRDefault="00F96982" w:rsidP="00F96982">
      <w:pPr>
        <w:rPr>
          <w:rFonts w:ascii="Arial" w:hAnsi="Arial" w:cs="Arial"/>
        </w:rPr>
      </w:pPr>
    </w:p>
    <w:p w14:paraId="29BE4160" w14:textId="50178428" w:rsidR="00F96982" w:rsidRPr="00561BB2" w:rsidRDefault="00220F41" w:rsidP="00220F41">
      <w:pPr>
        <w:pStyle w:val="Heading1"/>
        <w:ind w:left="360"/>
        <w:rPr>
          <w:color w:val="548DD4" w:themeColor="text2" w:themeTint="99"/>
        </w:rPr>
      </w:pPr>
      <w:r w:rsidRPr="00561BB2">
        <w:rPr>
          <w:color w:val="548DD4" w:themeColor="text2" w:themeTint="99"/>
        </w:rPr>
        <w:t xml:space="preserve">2a. </w:t>
      </w:r>
      <w:r w:rsidR="001F609F" w:rsidRPr="00561BB2">
        <w:rPr>
          <w:color w:val="548DD4" w:themeColor="text2" w:themeTint="99"/>
        </w:rPr>
        <w:t>A</w:t>
      </w:r>
      <w:r w:rsidR="009115CE" w:rsidRPr="00561BB2">
        <w:rPr>
          <w:color w:val="548DD4" w:themeColor="text2" w:themeTint="99"/>
        </w:rPr>
        <w:t>bout Kirklees: Population Factors</w:t>
      </w:r>
    </w:p>
    <w:p w14:paraId="388FC775" w14:textId="77777777" w:rsidR="00F96982" w:rsidRDefault="00F96982" w:rsidP="00F96982">
      <w:pPr>
        <w:rPr>
          <w:rFonts w:ascii="Arial" w:hAnsi="Arial" w:cs="Arial"/>
        </w:rPr>
      </w:pPr>
    </w:p>
    <w:p w14:paraId="5FF64FFA" w14:textId="0F7FF102" w:rsidR="00F96982" w:rsidRPr="001F609F" w:rsidRDefault="009115CE" w:rsidP="00F96982">
      <w:pPr>
        <w:rPr>
          <w:rFonts w:cstheme="minorHAnsi"/>
          <w:sz w:val="32"/>
          <w:szCs w:val="32"/>
        </w:rPr>
      </w:pPr>
      <w:r w:rsidRPr="001F609F">
        <w:rPr>
          <w:rFonts w:cstheme="minorHAnsi"/>
          <w:sz w:val="32"/>
          <w:szCs w:val="32"/>
        </w:rPr>
        <w:t>Total Population – 433,300</w:t>
      </w:r>
    </w:p>
    <w:p w14:paraId="3A4D9D76" w14:textId="4ACC0B49" w:rsidR="009115CE" w:rsidRPr="001F609F" w:rsidRDefault="009115CE" w:rsidP="00F96982">
      <w:pPr>
        <w:rPr>
          <w:rFonts w:cstheme="minorHAnsi"/>
          <w:sz w:val="32"/>
          <w:szCs w:val="32"/>
        </w:rPr>
      </w:pPr>
      <w:r w:rsidRPr="001F609F">
        <w:rPr>
          <w:rFonts w:cstheme="minorHAnsi"/>
          <w:sz w:val="32"/>
          <w:szCs w:val="32"/>
        </w:rPr>
        <w:t>49/51 split between male and female</w:t>
      </w:r>
      <w:r w:rsidR="000C150D">
        <w:rPr>
          <w:rFonts w:cstheme="minorHAnsi"/>
          <w:sz w:val="32"/>
          <w:szCs w:val="32"/>
        </w:rPr>
        <w:t>.</w:t>
      </w:r>
    </w:p>
    <w:p w14:paraId="06105F40" w14:textId="10D9DA72" w:rsidR="009115CE" w:rsidRPr="001F609F" w:rsidRDefault="009115CE" w:rsidP="00F96982">
      <w:pPr>
        <w:rPr>
          <w:rFonts w:cstheme="minorHAnsi"/>
          <w:sz w:val="32"/>
          <w:szCs w:val="32"/>
        </w:rPr>
      </w:pPr>
      <w:r w:rsidRPr="001F609F">
        <w:rPr>
          <w:rFonts w:cstheme="minorHAnsi"/>
          <w:sz w:val="32"/>
          <w:szCs w:val="32"/>
        </w:rPr>
        <w:t>86.8 percent of the population were born in UK</w:t>
      </w:r>
      <w:r w:rsidR="000C150D">
        <w:rPr>
          <w:rFonts w:cstheme="minorHAnsi"/>
          <w:sz w:val="32"/>
          <w:szCs w:val="32"/>
        </w:rPr>
        <w:t>.</w:t>
      </w:r>
    </w:p>
    <w:p w14:paraId="2A39A5B6" w14:textId="109E029C" w:rsidR="009115CE" w:rsidRPr="001F609F" w:rsidRDefault="009115CE" w:rsidP="00F96982">
      <w:pPr>
        <w:rPr>
          <w:rFonts w:cstheme="minorHAnsi"/>
          <w:sz w:val="32"/>
          <w:szCs w:val="32"/>
        </w:rPr>
      </w:pPr>
      <w:r w:rsidRPr="001F609F">
        <w:rPr>
          <w:rFonts w:cstheme="minorHAnsi"/>
          <w:sz w:val="32"/>
          <w:szCs w:val="32"/>
        </w:rPr>
        <w:t>BAME 26.2percent. Pakistani is the largest BAME group at 9.9 percent</w:t>
      </w:r>
      <w:r w:rsidR="000C150D">
        <w:rPr>
          <w:rFonts w:cstheme="minorHAnsi"/>
          <w:sz w:val="32"/>
          <w:szCs w:val="32"/>
        </w:rPr>
        <w:t>.</w:t>
      </w:r>
    </w:p>
    <w:p w14:paraId="76275C4E" w14:textId="18D6E12F" w:rsidR="009115CE" w:rsidRPr="001F609F" w:rsidRDefault="009115CE" w:rsidP="00F96982">
      <w:pPr>
        <w:rPr>
          <w:rFonts w:cstheme="minorHAnsi"/>
          <w:sz w:val="32"/>
          <w:szCs w:val="32"/>
        </w:rPr>
      </w:pPr>
      <w:r w:rsidRPr="001F609F">
        <w:rPr>
          <w:rFonts w:cstheme="minorHAnsi"/>
          <w:sz w:val="32"/>
          <w:szCs w:val="32"/>
        </w:rPr>
        <w:t>23 percent of the Kirklees population are children</w:t>
      </w:r>
      <w:r w:rsidR="000C150D">
        <w:rPr>
          <w:rFonts w:cstheme="minorHAnsi"/>
          <w:sz w:val="32"/>
          <w:szCs w:val="32"/>
        </w:rPr>
        <w:t>.</w:t>
      </w:r>
    </w:p>
    <w:p w14:paraId="2D6BE035" w14:textId="29B56001" w:rsidR="009115CE" w:rsidRPr="001F609F" w:rsidRDefault="009115CE" w:rsidP="00F96982">
      <w:pPr>
        <w:rPr>
          <w:rFonts w:cstheme="minorHAnsi"/>
          <w:sz w:val="32"/>
          <w:szCs w:val="32"/>
        </w:rPr>
      </w:pPr>
      <w:r w:rsidRPr="001F609F">
        <w:rPr>
          <w:rFonts w:cstheme="minorHAnsi"/>
          <w:sz w:val="32"/>
          <w:szCs w:val="32"/>
        </w:rPr>
        <w:t>18 percent of children in Kirklees living in low income families</w:t>
      </w:r>
    </w:p>
    <w:p w14:paraId="2E30D50A" w14:textId="77721BA0" w:rsidR="009115CE" w:rsidRPr="001F609F" w:rsidRDefault="009115CE" w:rsidP="00F96982">
      <w:pPr>
        <w:rPr>
          <w:rFonts w:cstheme="minorHAnsi"/>
          <w:sz w:val="32"/>
          <w:szCs w:val="32"/>
        </w:rPr>
      </w:pPr>
      <w:r w:rsidRPr="001F609F">
        <w:rPr>
          <w:rFonts w:cstheme="minorHAnsi"/>
          <w:sz w:val="32"/>
          <w:szCs w:val="32"/>
        </w:rPr>
        <w:t>10.6 percent of households experience fuel poverty (in line with England)</w:t>
      </w:r>
    </w:p>
    <w:p w14:paraId="6F9ACDD2" w14:textId="20D6E581" w:rsidR="009115CE" w:rsidRDefault="009115CE" w:rsidP="00F96982">
      <w:pPr>
        <w:rPr>
          <w:rFonts w:ascii="Arial" w:hAnsi="Arial" w:cs="Arial"/>
        </w:rPr>
      </w:pPr>
    </w:p>
    <w:p w14:paraId="6F2F5536" w14:textId="00820697" w:rsidR="009115CE" w:rsidRPr="00561BB2" w:rsidRDefault="00220F41" w:rsidP="001F609F">
      <w:pPr>
        <w:pStyle w:val="Heading1"/>
        <w:ind w:left="360"/>
        <w:rPr>
          <w:color w:val="548DD4" w:themeColor="text2" w:themeTint="99"/>
        </w:rPr>
      </w:pPr>
      <w:r w:rsidRPr="00561BB2">
        <w:rPr>
          <w:color w:val="548DD4" w:themeColor="text2" w:themeTint="99"/>
        </w:rPr>
        <w:t xml:space="preserve">2b. </w:t>
      </w:r>
      <w:r w:rsidR="001F609F" w:rsidRPr="00561BB2">
        <w:rPr>
          <w:color w:val="548DD4" w:themeColor="text2" w:themeTint="99"/>
        </w:rPr>
        <w:t>A</w:t>
      </w:r>
      <w:r w:rsidR="009115CE" w:rsidRPr="00561BB2">
        <w:rPr>
          <w:color w:val="548DD4" w:themeColor="text2" w:themeTint="99"/>
        </w:rPr>
        <w:t>bout Kirklees: Population breakdown</w:t>
      </w:r>
    </w:p>
    <w:p w14:paraId="063C3834" w14:textId="18E63A90" w:rsidR="00F96982" w:rsidRDefault="00F96982" w:rsidP="00F96982">
      <w:pPr>
        <w:rPr>
          <w:rFonts w:ascii="Arial" w:hAnsi="Arial" w:cs="Arial"/>
        </w:rPr>
      </w:pPr>
    </w:p>
    <w:p w14:paraId="53615EBC" w14:textId="6604B7B8" w:rsidR="009115CE" w:rsidRPr="00220F41" w:rsidRDefault="009115CE" w:rsidP="00F96982">
      <w:pPr>
        <w:rPr>
          <w:rFonts w:ascii="Calibri" w:hAnsi="Calibri" w:cs="Calibri"/>
          <w:sz w:val="32"/>
          <w:szCs w:val="32"/>
        </w:rPr>
      </w:pPr>
      <w:r w:rsidRPr="00220F41">
        <w:rPr>
          <w:rFonts w:ascii="Calibri" w:hAnsi="Calibri" w:cs="Calibri"/>
          <w:sz w:val="32"/>
          <w:szCs w:val="32"/>
        </w:rPr>
        <w:t>18 percent of children living in low income families</w:t>
      </w:r>
    </w:p>
    <w:p w14:paraId="5E08F445" w14:textId="30D3F8B5" w:rsidR="009115CE" w:rsidRPr="00220F41" w:rsidRDefault="009115CE" w:rsidP="00F96982">
      <w:pPr>
        <w:rPr>
          <w:rFonts w:ascii="Calibri" w:hAnsi="Calibri" w:cs="Calibri"/>
          <w:sz w:val="32"/>
          <w:szCs w:val="32"/>
        </w:rPr>
      </w:pPr>
      <w:r w:rsidRPr="00220F41">
        <w:rPr>
          <w:rFonts w:ascii="Calibri" w:hAnsi="Calibri" w:cs="Calibri"/>
          <w:sz w:val="32"/>
          <w:szCs w:val="32"/>
        </w:rPr>
        <w:t>11 percent of households experiencing fuel poverty</w:t>
      </w:r>
    </w:p>
    <w:p w14:paraId="4EF9042E" w14:textId="4FF99572" w:rsidR="009115CE" w:rsidRPr="00220F41" w:rsidRDefault="009115CE" w:rsidP="00F96982">
      <w:pPr>
        <w:rPr>
          <w:rFonts w:ascii="Calibri" w:hAnsi="Calibri" w:cs="Calibri"/>
          <w:sz w:val="32"/>
          <w:szCs w:val="32"/>
        </w:rPr>
      </w:pPr>
      <w:r w:rsidRPr="00220F41">
        <w:rPr>
          <w:rFonts w:ascii="Calibri" w:hAnsi="Calibri" w:cs="Calibri"/>
          <w:sz w:val="32"/>
          <w:szCs w:val="32"/>
        </w:rPr>
        <w:t>3 in 1000 households are homeless and in priority need</w:t>
      </w:r>
      <w:r w:rsidR="000C150D">
        <w:rPr>
          <w:rFonts w:ascii="Calibri" w:hAnsi="Calibri" w:cs="Calibri"/>
          <w:sz w:val="32"/>
          <w:szCs w:val="32"/>
        </w:rPr>
        <w:t>.</w:t>
      </w:r>
    </w:p>
    <w:p w14:paraId="25079EBC" w14:textId="30614BEB" w:rsidR="009115CE" w:rsidRPr="00220F41" w:rsidRDefault="009115CE" w:rsidP="00F96982">
      <w:pPr>
        <w:rPr>
          <w:rFonts w:ascii="Calibri" w:hAnsi="Calibri" w:cs="Calibri"/>
          <w:sz w:val="32"/>
          <w:szCs w:val="32"/>
        </w:rPr>
      </w:pPr>
    </w:p>
    <w:p w14:paraId="1FAA4400" w14:textId="1ED11232" w:rsidR="009115CE" w:rsidRPr="00220F41" w:rsidRDefault="009115CE" w:rsidP="00F96982">
      <w:pPr>
        <w:rPr>
          <w:rFonts w:ascii="Calibri" w:hAnsi="Calibri" w:cs="Calibri"/>
          <w:sz w:val="32"/>
          <w:szCs w:val="32"/>
        </w:rPr>
      </w:pPr>
      <w:r w:rsidRPr="00220F41">
        <w:rPr>
          <w:rFonts w:ascii="Calibri" w:hAnsi="Calibri" w:cs="Calibri"/>
          <w:sz w:val="32"/>
          <w:szCs w:val="32"/>
        </w:rPr>
        <w:t>Not in education, employment or training (NEET) in percentage</w:t>
      </w:r>
    </w:p>
    <w:p w14:paraId="55B3C96D" w14:textId="6D433C74" w:rsidR="009115CE" w:rsidRPr="00220F41" w:rsidRDefault="009115CE" w:rsidP="00F96982">
      <w:pPr>
        <w:rPr>
          <w:rFonts w:ascii="Calibri" w:hAnsi="Calibri" w:cs="Calibri"/>
          <w:sz w:val="32"/>
          <w:szCs w:val="32"/>
        </w:rPr>
      </w:pPr>
    </w:p>
    <w:p w14:paraId="47731085" w14:textId="5AF62A98" w:rsidR="009115CE" w:rsidRPr="00220F41" w:rsidRDefault="009115CE" w:rsidP="00F96982">
      <w:pPr>
        <w:rPr>
          <w:rFonts w:ascii="Calibri" w:hAnsi="Calibri" w:cs="Calibri"/>
          <w:sz w:val="32"/>
          <w:szCs w:val="32"/>
        </w:rPr>
      </w:pPr>
      <w:r w:rsidRPr="00220F41">
        <w:rPr>
          <w:rFonts w:ascii="Calibri" w:hAnsi="Calibri" w:cs="Calibri"/>
          <w:sz w:val="32"/>
          <w:szCs w:val="32"/>
        </w:rPr>
        <w:t>Male 16-17 year olds</w:t>
      </w:r>
    </w:p>
    <w:p w14:paraId="30CCFB09" w14:textId="20A0B131" w:rsidR="009115CE" w:rsidRPr="00220F41" w:rsidRDefault="009115CE" w:rsidP="00F96982">
      <w:pPr>
        <w:rPr>
          <w:rFonts w:ascii="Calibri" w:hAnsi="Calibri" w:cs="Calibri"/>
          <w:sz w:val="32"/>
          <w:szCs w:val="32"/>
        </w:rPr>
      </w:pPr>
      <w:r w:rsidRPr="00220F41">
        <w:rPr>
          <w:rFonts w:ascii="Calibri" w:hAnsi="Calibri" w:cs="Calibri"/>
          <w:sz w:val="32"/>
          <w:szCs w:val="32"/>
        </w:rPr>
        <w:t xml:space="preserve">Kirklees 5 percent; </w:t>
      </w:r>
      <w:r w:rsidR="000C150D">
        <w:rPr>
          <w:rFonts w:ascii="Calibri" w:hAnsi="Calibri" w:cs="Calibri"/>
          <w:sz w:val="32"/>
          <w:szCs w:val="32"/>
        </w:rPr>
        <w:t>Y</w:t>
      </w:r>
      <w:r w:rsidRPr="00220F41">
        <w:rPr>
          <w:rFonts w:ascii="Calibri" w:hAnsi="Calibri" w:cs="Calibri"/>
          <w:sz w:val="32"/>
          <w:szCs w:val="32"/>
        </w:rPr>
        <w:t>orkshire and Humber 7 percent; England 6 percent</w:t>
      </w:r>
    </w:p>
    <w:p w14:paraId="5A5635F9" w14:textId="3861896B" w:rsidR="009115CE" w:rsidRPr="00220F41" w:rsidRDefault="009115CE" w:rsidP="00F96982">
      <w:pPr>
        <w:rPr>
          <w:rFonts w:ascii="Calibri" w:hAnsi="Calibri" w:cs="Calibri"/>
          <w:sz w:val="32"/>
          <w:szCs w:val="32"/>
        </w:rPr>
      </w:pPr>
    </w:p>
    <w:p w14:paraId="10E1A04C" w14:textId="093C9257" w:rsidR="009115CE" w:rsidRPr="00220F41" w:rsidRDefault="009115CE" w:rsidP="00F96982">
      <w:pPr>
        <w:rPr>
          <w:rFonts w:ascii="Calibri" w:hAnsi="Calibri" w:cs="Calibri"/>
          <w:sz w:val="32"/>
          <w:szCs w:val="32"/>
        </w:rPr>
      </w:pPr>
      <w:r w:rsidRPr="00220F41">
        <w:rPr>
          <w:rFonts w:ascii="Calibri" w:hAnsi="Calibri" w:cs="Calibri"/>
          <w:sz w:val="32"/>
          <w:szCs w:val="32"/>
        </w:rPr>
        <w:t>Female 16-17 year olds</w:t>
      </w:r>
    </w:p>
    <w:p w14:paraId="73C6B94B" w14:textId="578241B6" w:rsidR="009115CE" w:rsidRPr="00220F41" w:rsidRDefault="009115CE" w:rsidP="00F96982">
      <w:pPr>
        <w:rPr>
          <w:rFonts w:ascii="Calibri" w:hAnsi="Calibri" w:cs="Calibri"/>
          <w:sz w:val="32"/>
          <w:szCs w:val="32"/>
        </w:rPr>
      </w:pPr>
      <w:r w:rsidRPr="00220F41">
        <w:rPr>
          <w:rFonts w:ascii="Calibri" w:hAnsi="Calibri" w:cs="Calibri"/>
          <w:sz w:val="32"/>
          <w:szCs w:val="32"/>
        </w:rPr>
        <w:lastRenderedPageBreak/>
        <w:t xml:space="preserve">Kirklees 2 percent; Yorkshire and Humber 5 percent; England </w:t>
      </w:r>
      <w:r w:rsidR="00393CB3" w:rsidRPr="00220F41">
        <w:rPr>
          <w:rFonts w:ascii="Calibri" w:hAnsi="Calibri" w:cs="Calibri"/>
          <w:sz w:val="32"/>
          <w:szCs w:val="32"/>
        </w:rPr>
        <w:t>4 percent</w:t>
      </w:r>
    </w:p>
    <w:p w14:paraId="3B1FD0AA" w14:textId="4E94D2AA" w:rsidR="00393CB3" w:rsidRPr="00220F41" w:rsidRDefault="00393CB3" w:rsidP="00F96982">
      <w:pPr>
        <w:rPr>
          <w:rFonts w:ascii="Calibri" w:hAnsi="Calibri" w:cs="Calibri"/>
          <w:sz w:val="32"/>
          <w:szCs w:val="32"/>
        </w:rPr>
      </w:pPr>
    </w:p>
    <w:p w14:paraId="3E62937B" w14:textId="67706291" w:rsidR="00393CB3" w:rsidRPr="00220F41" w:rsidRDefault="00393CB3" w:rsidP="00F96982">
      <w:pPr>
        <w:rPr>
          <w:rFonts w:cstheme="minorHAnsi"/>
          <w:sz w:val="32"/>
          <w:szCs w:val="32"/>
        </w:rPr>
      </w:pPr>
      <w:r w:rsidRPr="00220F41">
        <w:rPr>
          <w:rFonts w:cstheme="minorHAnsi"/>
          <w:sz w:val="32"/>
          <w:szCs w:val="32"/>
        </w:rPr>
        <w:t>There are approximately 70,000 schoolchildren in Kirklees.</w:t>
      </w:r>
    </w:p>
    <w:p w14:paraId="5D82525E" w14:textId="6B9EC1B4" w:rsidR="00393CB3" w:rsidRPr="00220F41" w:rsidRDefault="00393CB3" w:rsidP="00F96982">
      <w:pPr>
        <w:rPr>
          <w:rFonts w:cstheme="minorHAnsi"/>
          <w:sz w:val="32"/>
          <w:szCs w:val="32"/>
        </w:rPr>
      </w:pPr>
    </w:p>
    <w:p w14:paraId="447A0343" w14:textId="4C59C2CF" w:rsidR="00393CB3" w:rsidRPr="00220F41" w:rsidRDefault="00393CB3" w:rsidP="00F96982">
      <w:pPr>
        <w:rPr>
          <w:rFonts w:cstheme="minorHAnsi"/>
          <w:sz w:val="32"/>
          <w:szCs w:val="32"/>
        </w:rPr>
      </w:pPr>
      <w:r w:rsidRPr="00220F41">
        <w:rPr>
          <w:rFonts w:cstheme="minorHAnsi"/>
          <w:sz w:val="32"/>
          <w:szCs w:val="32"/>
        </w:rPr>
        <w:t>19 percent are aged under 15</w:t>
      </w:r>
    </w:p>
    <w:p w14:paraId="2A936F98" w14:textId="4E3710E5" w:rsidR="00393CB3" w:rsidRPr="00220F41" w:rsidRDefault="00393CB3" w:rsidP="00F96982">
      <w:pPr>
        <w:rPr>
          <w:rFonts w:cstheme="minorHAnsi"/>
          <w:sz w:val="32"/>
          <w:szCs w:val="32"/>
        </w:rPr>
      </w:pPr>
      <w:r w:rsidRPr="00220F41">
        <w:rPr>
          <w:rFonts w:cstheme="minorHAnsi"/>
          <w:sz w:val="32"/>
          <w:szCs w:val="32"/>
        </w:rPr>
        <w:t>18 percent are aged over 65</w:t>
      </w:r>
    </w:p>
    <w:p w14:paraId="318FFC15" w14:textId="48C080F2" w:rsidR="00393CB3" w:rsidRPr="00220F41" w:rsidRDefault="00393CB3" w:rsidP="00F96982">
      <w:pPr>
        <w:rPr>
          <w:rFonts w:cstheme="minorHAnsi"/>
          <w:sz w:val="32"/>
          <w:szCs w:val="32"/>
        </w:rPr>
      </w:pPr>
      <w:r w:rsidRPr="00220F41">
        <w:rPr>
          <w:rFonts w:cstheme="minorHAnsi"/>
          <w:sz w:val="32"/>
          <w:szCs w:val="32"/>
        </w:rPr>
        <w:t xml:space="preserve">64 percent are aged 15 </w:t>
      </w:r>
      <w:r w:rsidR="00220F41" w:rsidRPr="00220F41">
        <w:rPr>
          <w:rFonts w:cstheme="minorHAnsi"/>
          <w:sz w:val="32"/>
          <w:szCs w:val="32"/>
        </w:rPr>
        <w:t xml:space="preserve">to </w:t>
      </w:r>
      <w:r w:rsidRPr="00220F41">
        <w:rPr>
          <w:rFonts w:cstheme="minorHAnsi"/>
          <w:sz w:val="32"/>
          <w:szCs w:val="32"/>
        </w:rPr>
        <w:t>64</w:t>
      </w:r>
    </w:p>
    <w:p w14:paraId="5BE4BB7A" w14:textId="40487F72" w:rsidR="00393CB3" w:rsidRDefault="00393CB3" w:rsidP="00F96982">
      <w:pPr>
        <w:rPr>
          <w:rFonts w:ascii="Arial" w:hAnsi="Arial" w:cs="Arial"/>
        </w:rPr>
      </w:pPr>
    </w:p>
    <w:p w14:paraId="384E18EC" w14:textId="271EEDC7" w:rsidR="00393CB3" w:rsidRDefault="00393CB3" w:rsidP="00F96982">
      <w:pPr>
        <w:rPr>
          <w:rFonts w:ascii="Arial" w:hAnsi="Arial" w:cs="Arial"/>
        </w:rPr>
      </w:pPr>
    </w:p>
    <w:p w14:paraId="6894AF2D" w14:textId="65709A6D" w:rsidR="00393CB3" w:rsidRPr="00561BB2" w:rsidRDefault="00220F41" w:rsidP="00220F41">
      <w:pPr>
        <w:pStyle w:val="Heading1"/>
        <w:rPr>
          <w:color w:val="548DD4" w:themeColor="text2" w:themeTint="99"/>
        </w:rPr>
      </w:pPr>
      <w:r w:rsidRPr="00561BB2">
        <w:rPr>
          <w:color w:val="548DD4" w:themeColor="text2" w:themeTint="99"/>
        </w:rPr>
        <w:t xml:space="preserve">2c. </w:t>
      </w:r>
      <w:r w:rsidR="00393CB3" w:rsidRPr="00561BB2">
        <w:rPr>
          <w:color w:val="548DD4" w:themeColor="text2" w:themeTint="99"/>
        </w:rPr>
        <w:t>About Kirklees: Safeguarding Activity</w:t>
      </w:r>
    </w:p>
    <w:p w14:paraId="3BB8298A" w14:textId="231E609C" w:rsidR="00393CB3" w:rsidRDefault="00393CB3" w:rsidP="00F96982">
      <w:pPr>
        <w:rPr>
          <w:rFonts w:ascii="Arial" w:hAnsi="Arial" w:cs="Arial"/>
          <w:b/>
          <w:bCs/>
        </w:rPr>
      </w:pPr>
    </w:p>
    <w:p w14:paraId="5F6D1377" w14:textId="1256E02C" w:rsidR="00393CB3" w:rsidRPr="00220F41" w:rsidRDefault="00393CB3" w:rsidP="00220F41">
      <w:pPr>
        <w:rPr>
          <w:sz w:val="32"/>
          <w:szCs w:val="32"/>
        </w:rPr>
      </w:pPr>
      <w:r w:rsidRPr="00220F41">
        <w:rPr>
          <w:sz w:val="32"/>
          <w:szCs w:val="32"/>
        </w:rPr>
        <w:t>15 percent of re-referrals to Children Social Care within 12 months of the previous referral</w:t>
      </w:r>
    </w:p>
    <w:p w14:paraId="1965A67A" w14:textId="768B488B" w:rsidR="00393CB3" w:rsidRPr="00220F41" w:rsidRDefault="00393CB3" w:rsidP="00220F41">
      <w:pPr>
        <w:rPr>
          <w:sz w:val="32"/>
          <w:szCs w:val="32"/>
        </w:rPr>
      </w:pPr>
      <w:r w:rsidRPr="00220F41">
        <w:rPr>
          <w:sz w:val="32"/>
          <w:szCs w:val="32"/>
        </w:rPr>
        <w:t>Child protection plans starting in 2021 by category of abuse</w:t>
      </w:r>
    </w:p>
    <w:p w14:paraId="586AEE3C" w14:textId="0423AB2A" w:rsidR="00393CB3" w:rsidRPr="00220F41" w:rsidRDefault="00393CB3" w:rsidP="00220F41">
      <w:pPr>
        <w:rPr>
          <w:sz w:val="32"/>
          <w:szCs w:val="32"/>
        </w:rPr>
      </w:pPr>
      <w:r w:rsidRPr="00220F41">
        <w:rPr>
          <w:sz w:val="32"/>
          <w:szCs w:val="32"/>
        </w:rPr>
        <w:t>Neglect – 140</w:t>
      </w:r>
    </w:p>
    <w:p w14:paraId="7ED824FB" w14:textId="66889F5C" w:rsidR="00393CB3" w:rsidRPr="00220F41" w:rsidRDefault="00393CB3" w:rsidP="00220F41">
      <w:pPr>
        <w:rPr>
          <w:sz w:val="32"/>
          <w:szCs w:val="32"/>
        </w:rPr>
      </w:pPr>
      <w:r w:rsidRPr="00220F41">
        <w:rPr>
          <w:sz w:val="32"/>
          <w:szCs w:val="32"/>
        </w:rPr>
        <w:t>Emotional abuse – 82</w:t>
      </w:r>
    </w:p>
    <w:p w14:paraId="26DAAB02" w14:textId="14DF74F0" w:rsidR="00393CB3" w:rsidRPr="00220F41" w:rsidRDefault="00393CB3" w:rsidP="00220F41">
      <w:pPr>
        <w:rPr>
          <w:sz w:val="32"/>
          <w:szCs w:val="32"/>
        </w:rPr>
      </w:pPr>
      <w:r w:rsidRPr="00220F41">
        <w:rPr>
          <w:sz w:val="32"/>
          <w:szCs w:val="32"/>
        </w:rPr>
        <w:t>Physical abuse – 26</w:t>
      </w:r>
    </w:p>
    <w:p w14:paraId="61C4AC40" w14:textId="18D4891B" w:rsidR="00393CB3" w:rsidRPr="00220F41" w:rsidRDefault="00393CB3" w:rsidP="00220F41">
      <w:pPr>
        <w:rPr>
          <w:sz w:val="32"/>
          <w:szCs w:val="32"/>
        </w:rPr>
      </w:pPr>
      <w:r w:rsidRPr="00220F41">
        <w:rPr>
          <w:sz w:val="32"/>
          <w:szCs w:val="32"/>
        </w:rPr>
        <w:t>Sexual abuse – 11</w:t>
      </w:r>
    </w:p>
    <w:p w14:paraId="12E771D4" w14:textId="2C9C7EBE" w:rsidR="00393CB3" w:rsidRPr="00220F41" w:rsidRDefault="00393CB3" w:rsidP="00220F41">
      <w:pPr>
        <w:rPr>
          <w:sz w:val="32"/>
          <w:szCs w:val="32"/>
        </w:rPr>
      </w:pPr>
    </w:p>
    <w:p w14:paraId="0AB6FFC4" w14:textId="4FBA62FE" w:rsidR="00393CB3" w:rsidRPr="00220F41" w:rsidRDefault="00393CB3" w:rsidP="00220F41">
      <w:pPr>
        <w:rPr>
          <w:sz w:val="32"/>
          <w:szCs w:val="32"/>
        </w:rPr>
      </w:pPr>
      <w:r w:rsidRPr="00220F41">
        <w:rPr>
          <w:sz w:val="32"/>
          <w:szCs w:val="32"/>
        </w:rPr>
        <w:t>967 Early help assessments completed in 2021 for 402 families</w:t>
      </w:r>
      <w:r w:rsidR="000C150D">
        <w:rPr>
          <w:sz w:val="32"/>
          <w:szCs w:val="32"/>
        </w:rPr>
        <w:t>.</w:t>
      </w:r>
    </w:p>
    <w:p w14:paraId="5D0B2AE3" w14:textId="10793882" w:rsidR="00393CB3" w:rsidRPr="00220F41" w:rsidRDefault="00393CB3" w:rsidP="00220F41">
      <w:pPr>
        <w:rPr>
          <w:sz w:val="32"/>
          <w:szCs w:val="32"/>
        </w:rPr>
      </w:pPr>
    </w:p>
    <w:p w14:paraId="1579983D" w14:textId="3C747AF9" w:rsidR="00393CB3" w:rsidRPr="00220F41" w:rsidRDefault="00393CB3" w:rsidP="00220F41">
      <w:pPr>
        <w:rPr>
          <w:sz w:val="32"/>
          <w:szCs w:val="32"/>
        </w:rPr>
      </w:pPr>
      <w:r w:rsidRPr="00220F41">
        <w:rPr>
          <w:sz w:val="32"/>
          <w:szCs w:val="32"/>
        </w:rPr>
        <w:t>604 looked after children in 2021</w:t>
      </w:r>
      <w:r w:rsidR="000C150D">
        <w:rPr>
          <w:sz w:val="32"/>
          <w:szCs w:val="32"/>
        </w:rPr>
        <w:t>.</w:t>
      </w:r>
    </w:p>
    <w:p w14:paraId="264B9CE1" w14:textId="3DCE3017" w:rsidR="00393CB3" w:rsidRPr="00220F41" w:rsidRDefault="00393CB3" w:rsidP="00220F41">
      <w:pPr>
        <w:rPr>
          <w:sz w:val="32"/>
          <w:szCs w:val="32"/>
        </w:rPr>
      </w:pPr>
    </w:p>
    <w:p w14:paraId="2A17BFB8" w14:textId="2E190517" w:rsidR="00393CB3" w:rsidRPr="00220F41" w:rsidRDefault="00393CB3" w:rsidP="00220F41">
      <w:pPr>
        <w:rPr>
          <w:sz w:val="32"/>
          <w:szCs w:val="32"/>
        </w:rPr>
      </w:pPr>
      <w:r w:rsidRPr="00220F41">
        <w:rPr>
          <w:sz w:val="32"/>
          <w:szCs w:val="32"/>
        </w:rPr>
        <w:t xml:space="preserve">17148 initial contacts in 2021 to the Front Door for 9478 families </w:t>
      </w:r>
    </w:p>
    <w:p w14:paraId="10E50CDD" w14:textId="3E2B3508" w:rsidR="00393CB3" w:rsidRDefault="00393CB3" w:rsidP="00F96982">
      <w:pPr>
        <w:rPr>
          <w:rFonts w:ascii="Arial" w:hAnsi="Arial" w:cs="Arial"/>
        </w:rPr>
      </w:pPr>
    </w:p>
    <w:p w14:paraId="7F136094" w14:textId="77777777" w:rsidR="00393CB3" w:rsidRDefault="00393CB3" w:rsidP="00F96982">
      <w:pPr>
        <w:rPr>
          <w:rFonts w:ascii="Arial" w:hAnsi="Arial" w:cs="Arial"/>
        </w:rPr>
      </w:pPr>
    </w:p>
    <w:p w14:paraId="1A9E36F8" w14:textId="6EA7F783" w:rsidR="00393CB3" w:rsidRPr="00561BB2" w:rsidRDefault="00220F41" w:rsidP="00561BB2">
      <w:pPr>
        <w:pStyle w:val="Title"/>
        <w:ind w:left="360"/>
        <w:jc w:val="left"/>
        <w:rPr>
          <w:rFonts w:asciiTheme="minorHAnsi" w:hAnsiTheme="minorHAnsi" w:cstheme="minorHAnsi"/>
          <w:sz w:val="40"/>
          <w:szCs w:val="40"/>
        </w:rPr>
      </w:pPr>
      <w:r w:rsidRPr="00561BB2">
        <w:rPr>
          <w:rFonts w:asciiTheme="minorHAnsi" w:hAnsiTheme="minorHAnsi" w:cstheme="minorHAnsi"/>
          <w:color w:val="548DD4" w:themeColor="text2" w:themeTint="99"/>
          <w:sz w:val="40"/>
          <w:szCs w:val="40"/>
        </w:rPr>
        <w:t>3.</w:t>
      </w:r>
      <w:r w:rsidR="00393CB3" w:rsidRPr="00561BB2">
        <w:rPr>
          <w:rFonts w:asciiTheme="minorHAnsi" w:hAnsiTheme="minorHAnsi" w:cstheme="minorHAnsi"/>
          <w:color w:val="548DD4" w:themeColor="text2" w:themeTint="99"/>
          <w:sz w:val="40"/>
          <w:szCs w:val="40"/>
        </w:rPr>
        <w:t>KSCP Business Priorities 2021-2022: Demonstrating the impact…How did we do?</w:t>
      </w:r>
      <w:r w:rsidR="00393CB3" w:rsidRPr="00561BB2">
        <w:rPr>
          <w:rFonts w:asciiTheme="minorHAnsi" w:hAnsiTheme="minorHAnsi" w:cstheme="minorHAnsi"/>
          <w:sz w:val="40"/>
          <w:szCs w:val="40"/>
        </w:rPr>
        <w:br/>
      </w:r>
    </w:p>
    <w:p w14:paraId="114648EF" w14:textId="00C0807C" w:rsidR="00393CB3" w:rsidRPr="00220F41" w:rsidRDefault="00393CB3" w:rsidP="00393CB3">
      <w:pPr>
        <w:pStyle w:val="ListParagraph"/>
        <w:numPr>
          <w:ilvl w:val="0"/>
          <w:numId w:val="4"/>
        </w:numPr>
        <w:rPr>
          <w:rFonts w:ascii="Calibri" w:hAnsi="Calibri" w:cs="Calibri"/>
          <w:b/>
          <w:bCs/>
          <w:sz w:val="32"/>
          <w:szCs w:val="32"/>
        </w:rPr>
      </w:pPr>
      <w:r w:rsidRPr="00220F41">
        <w:rPr>
          <w:rFonts w:ascii="Calibri" w:hAnsi="Calibri" w:cs="Calibri"/>
          <w:b/>
          <w:bCs/>
          <w:sz w:val="32"/>
          <w:szCs w:val="32"/>
        </w:rPr>
        <w:t>To ensure that there is a co-ordinated multi-agency approach to protecting, preventing, and supporting children, young people and their families who are involved in or at risk of exploitation or serious violence.</w:t>
      </w:r>
    </w:p>
    <w:p w14:paraId="740DB962" w14:textId="1E8FBD6D" w:rsidR="00393CB3" w:rsidRPr="00220F41" w:rsidRDefault="00393CB3" w:rsidP="00393CB3">
      <w:pPr>
        <w:rPr>
          <w:rFonts w:ascii="Calibri" w:hAnsi="Calibri" w:cs="Calibri"/>
          <w:b/>
          <w:bCs/>
          <w:sz w:val="32"/>
          <w:szCs w:val="32"/>
        </w:rPr>
      </w:pPr>
    </w:p>
    <w:p w14:paraId="1EAF7E87" w14:textId="77777777" w:rsidR="00393CB3" w:rsidRPr="00393CB3" w:rsidRDefault="00393CB3" w:rsidP="00393CB3">
      <w:pPr>
        <w:ind w:left="720"/>
        <w:rPr>
          <w:rFonts w:cstheme="minorHAnsi"/>
          <w:sz w:val="32"/>
          <w:szCs w:val="32"/>
        </w:rPr>
      </w:pPr>
      <w:r w:rsidRPr="00393CB3">
        <w:rPr>
          <w:rFonts w:cstheme="minorHAnsi"/>
          <w:sz w:val="32"/>
          <w:szCs w:val="32"/>
        </w:rPr>
        <w:t>We have developed local strategies to address risk and vulnerability in conjunction with the regional Risk and Vulnerability safeguarding steering group. We have identified learning and development needs, to ensure that all staff are confident in how to identify and respond to risk and vulnerability, and support practice development activities.</w:t>
      </w:r>
    </w:p>
    <w:p w14:paraId="0B62B7D9" w14:textId="2B38D24C" w:rsidR="00393CB3" w:rsidRPr="00220F41" w:rsidRDefault="00393CB3" w:rsidP="00393CB3">
      <w:pPr>
        <w:ind w:left="720"/>
        <w:rPr>
          <w:rFonts w:cstheme="minorHAnsi"/>
          <w:sz w:val="32"/>
          <w:szCs w:val="32"/>
        </w:rPr>
      </w:pPr>
      <w:r w:rsidRPr="00220F41">
        <w:rPr>
          <w:rFonts w:cstheme="minorHAnsi"/>
          <w:sz w:val="32"/>
          <w:szCs w:val="32"/>
        </w:rPr>
        <w:t>We have continued to develop our early identification and response for those at risk. The Youth Engagement Service (YES) is at the centre of this work, providing more effective coordination of resources with partners to contribute to the earlier identification and understanding of children and young people at risk of exploitation.</w:t>
      </w:r>
    </w:p>
    <w:p w14:paraId="6D97FB53" w14:textId="77777777" w:rsidR="00C308C6" w:rsidRPr="00C308C6" w:rsidRDefault="00C308C6" w:rsidP="00C308C6">
      <w:pPr>
        <w:ind w:left="720"/>
        <w:rPr>
          <w:rFonts w:cstheme="minorHAnsi"/>
          <w:sz w:val="32"/>
          <w:szCs w:val="32"/>
        </w:rPr>
      </w:pPr>
      <w:hyperlink r:id="rId9" w:history="1">
        <w:r w:rsidRPr="00C308C6">
          <w:rPr>
            <w:rStyle w:val="Hyperlink"/>
            <w:rFonts w:cstheme="minorHAnsi"/>
            <w:sz w:val="32"/>
            <w:szCs w:val="32"/>
          </w:rPr>
          <w:t>v17-2020-07-02-Kirklees-Exploitation-Strategy.pdf (kirkleessafeguardingchildren.co.uk)</w:t>
        </w:r>
      </w:hyperlink>
    </w:p>
    <w:p w14:paraId="5DA0BB94" w14:textId="77777777" w:rsidR="00C308C6" w:rsidRDefault="00C308C6" w:rsidP="00393CB3">
      <w:pPr>
        <w:ind w:left="720"/>
        <w:rPr>
          <w:rFonts w:cstheme="minorHAnsi"/>
          <w:sz w:val="32"/>
          <w:szCs w:val="32"/>
        </w:rPr>
      </w:pPr>
    </w:p>
    <w:p w14:paraId="5F488607" w14:textId="77777777" w:rsidR="00C308C6" w:rsidRPr="00220F41" w:rsidRDefault="00C308C6" w:rsidP="00393CB3">
      <w:pPr>
        <w:ind w:left="720"/>
        <w:rPr>
          <w:rFonts w:cstheme="minorHAnsi"/>
          <w:sz w:val="32"/>
          <w:szCs w:val="32"/>
        </w:rPr>
      </w:pPr>
    </w:p>
    <w:p w14:paraId="347D7E19" w14:textId="5CFB70D3" w:rsidR="00393CB3" w:rsidRPr="00220F41" w:rsidRDefault="00393CB3" w:rsidP="00393CB3">
      <w:pPr>
        <w:pStyle w:val="ListParagraph"/>
        <w:numPr>
          <w:ilvl w:val="0"/>
          <w:numId w:val="4"/>
        </w:numPr>
        <w:rPr>
          <w:rFonts w:cstheme="minorHAnsi"/>
          <w:b/>
          <w:bCs/>
          <w:sz w:val="32"/>
          <w:szCs w:val="32"/>
        </w:rPr>
      </w:pPr>
      <w:r w:rsidRPr="00220F41">
        <w:rPr>
          <w:rFonts w:cstheme="minorHAnsi"/>
          <w:b/>
          <w:bCs/>
          <w:sz w:val="32"/>
          <w:szCs w:val="32"/>
        </w:rPr>
        <w:t>Early recognition and appropriate mental health support &amp; follow-up, especially for young people presenting with indications of self-harm.</w:t>
      </w:r>
    </w:p>
    <w:p w14:paraId="352433E2" w14:textId="5E345973" w:rsidR="00393CB3" w:rsidRPr="00220F41" w:rsidRDefault="00393CB3" w:rsidP="00393CB3">
      <w:pPr>
        <w:rPr>
          <w:rFonts w:cstheme="minorHAnsi"/>
          <w:b/>
          <w:bCs/>
          <w:sz w:val="32"/>
          <w:szCs w:val="32"/>
        </w:rPr>
      </w:pPr>
    </w:p>
    <w:p w14:paraId="19586FCA" w14:textId="041C5CE1" w:rsidR="00393CB3" w:rsidRDefault="00393CB3" w:rsidP="00393CB3">
      <w:pPr>
        <w:ind w:left="720"/>
        <w:rPr>
          <w:rFonts w:cstheme="minorHAnsi"/>
          <w:sz w:val="32"/>
          <w:szCs w:val="32"/>
        </w:rPr>
      </w:pPr>
      <w:r w:rsidRPr="00220F41">
        <w:rPr>
          <w:rFonts w:cstheme="minorHAnsi"/>
          <w:sz w:val="32"/>
          <w:szCs w:val="32"/>
        </w:rPr>
        <w:t>We ensure our support services are accessible and responsive to all, and we work with partners to address systemic inequality.</w:t>
      </w:r>
    </w:p>
    <w:p w14:paraId="4E6EB3F3" w14:textId="77777777" w:rsidR="00C308C6" w:rsidRDefault="00C308C6" w:rsidP="00393CB3">
      <w:pPr>
        <w:ind w:left="720"/>
        <w:rPr>
          <w:rFonts w:cstheme="minorHAnsi"/>
          <w:sz w:val="32"/>
          <w:szCs w:val="32"/>
        </w:rPr>
      </w:pPr>
      <w:hyperlink r:id="rId10" w:history="1">
        <w:r w:rsidRPr="00C308C6">
          <w:rPr>
            <w:rStyle w:val="Hyperlink"/>
            <w:rFonts w:cstheme="minorHAnsi"/>
            <w:sz w:val="32"/>
            <w:szCs w:val="32"/>
          </w:rPr>
          <w:t>Thriving Kirklees - health and wellbeing services for children and families</w:t>
        </w:r>
      </w:hyperlink>
      <w:r w:rsidRPr="00C308C6">
        <w:rPr>
          <w:rFonts w:cstheme="minorHAnsi"/>
          <w:sz w:val="32"/>
          <w:szCs w:val="32"/>
        </w:rPr>
        <w:t xml:space="preserve">. </w:t>
      </w:r>
      <w:hyperlink r:id="rId11" w:history="1">
        <w:r w:rsidRPr="00C308C6">
          <w:rPr>
            <w:rStyle w:val="Hyperlink"/>
            <w:rFonts w:cstheme="minorHAnsi"/>
            <w:sz w:val="32"/>
            <w:szCs w:val="32"/>
          </w:rPr>
          <w:t>Services to support children, young people and families - Thriving Kirklees</w:t>
        </w:r>
      </w:hyperlink>
      <w:r w:rsidRPr="00C308C6">
        <w:rPr>
          <w:rFonts w:cstheme="minorHAnsi"/>
          <w:sz w:val="32"/>
          <w:szCs w:val="32"/>
        </w:rPr>
        <w:t xml:space="preserve">   </w:t>
      </w:r>
    </w:p>
    <w:p w14:paraId="7F0A42C8" w14:textId="07FA4833" w:rsidR="00C308C6" w:rsidRDefault="00C308C6" w:rsidP="00393CB3">
      <w:pPr>
        <w:ind w:left="720"/>
        <w:rPr>
          <w:rFonts w:cstheme="minorHAnsi"/>
          <w:sz w:val="32"/>
          <w:szCs w:val="32"/>
        </w:rPr>
      </w:pPr>
      <w:hyperlink r:id="rId12" w:history="1">
        <w:r w:rsidRPr="00C308C6">
          <w:rPr>
            <w:rStyle w:val="Hyperlink"/>
            <w:rFonts w:cstheme="minorHAnsi"/>
            <w:sz w:val="32"/>
            <w:szCs w:val="32"/>
          </w:rPr>
          <w:t>Support Request Form - Thriving Kirklees</w:t>
        </w:r>
      </w:hyperlink>
    </w:p>
    <w:p w14:paraId="6B0B4C1C" w14:textId="77777777" w:rsidR="00C308C6" w:rsidRPr="00220F41" w:rsidRDefault="00C308C6" w:rsidP="00393CB3">
      <w:pPr>
        <w:ind w:left="720"/>
        <w:rPr>
          <w:rFonts w:cstheme="minorHAnsi"/>
          <w:sz w:val="32"/>
          <w:szCs w:val="32"/>
        </w:rPr>
      </w:pPr>
    </w:p>
    <w:p w14:paraId="4F23E680" w14:textId="2F4E9045" w:rsidR="00393CB3" w:rsidRPr="00220F41" w:rsidRDefault="00393CB3" w:rsidP="00393CB3">
      <w:pPr>
        <w:ind w:left="720"/>
        <w:rPr>
          <w:rFonts w:cstheme="minorHAnsi"/>
          <w:b/>
          <w:bCs/>
          <w:sz w:val="32"/>
          <w:szCs w:val="32"/>
        </w:rPr>
      </w:pPr>
    </w:p>
    <w:p w14:paraId="740183C0" w14:textId="1A65EC76" w:rsidR="00393CB3" w:rsidRPr="00220F41" w:rsidRDefault="00393CB3" w:rsidP="00393CB3">
      <w:pPr>
        <w:pStyle w:val="ListParagraph"/>
        <w:numPr>
          <w:ilvl w:val="0"/>
          <w:numId w:val="4"/>
        </w:numPr>
        <w:rPr>
          <w:rFonts w:cstheme="minorHAnsi"/>
          <w:b/>
          <w:bCs/>
          <w:sz w:val="32"/>
          <w:szCs w:val="32"/>
        </w:rPr>
      </w:pPr>
      <w:r w:rsidRPr="00220F41">
        <w:rPr>
          <w:rFonts w:cstheme="minorHAnsi"/>
          <w:b/>
          <w:bCs/>
          <w:sz w:val="32"/>
          <w:szCs w:val="32"/>
        </w:rPr>
        <w:t>Work to improve engagement with schools of all types in their local area, tailoring their approach to what their analysis (produced in partnership with schools/colleges and wider safeguarding partners) indicates are the risks to children and young people in their local area.</w:t>
      </w:r>
    </w:p>
    <w:p w14:paraId="532D29BB" w14:textId="7244B7E6" w:rsidR="00393CB3" w:rsidRPr="00220F41" w:rsidRDefault="00393CB3" w:rsidP="00393CB3">
      <w:pPr>
        <w:rPr>
          <w:rFonts w:cstheme="minorHAnsi"/>
          <w:b/>
          <w:bCs/>
          <w:sz w:val="32"/>
          <w:szCs w:val="32"/>
        </w:rPr>
      </w:pPr>
    </w:p>
    <w:p w14:paraId="514FF7B4" w14:textId="3BA7B2FD" w:rsidR="00393CB3" w:rsidRDefault="00393CB3" w:rsidP="00393CB3">
      <w:pPr>
        <w:ind w:left="720"/>
        <w:rPr>
          <w:rFonts w:cstheme="minorHAnsi"/>
          <w:sz w:val="32"/>
          <w:szCs w:val="32"/>
        </w:rPr>
      </w:pPr>
      <w:r w:rsidRPr="00220F41">
        <w:rPr>
          <w:rFonts w:cstheme="minorHAnsi"/>
          <w:sz w:val="32"/>
          <w:szCs w:val="32"/>
        </w:rPr>
        <w:t>Kirklees launched its SEND (Special Educational Needs and Disabilities) Transformation Plan in 2021. We have established an Ambition Board which brings together key partners as well Kirklees council representatives.</w:t>
      </w:r>
    </w:p>
    <w:p w14:paraId="15D5D0A0" w14:textId="36909133" w:rsidR="00C308C6" w:rsidRDefault="00C308C6" w:rsidP="00393CB3">
      <w:pPr>
        <w:ind w:left="720"/>
        <w:rPr>
          <w:rFonts w:cstheme="minorHAnsi"/>
          <w:sz w:val="32"/>
          <w:szCs w:val="32"/>
        </w:rPr>
      </w:pPr>
      <w:hyperlink r:id="rId13" w:history="1">
        <w:r w:rsidRPr="00C308C6">
          <w:rPr>
            <w:rStyle w:val="Hyperlink"/>
            <w:rFonts w:cstheme="minorHAnsi"/>
            <w:sz w:val="32"/>
            <w:szCs w:val="32"/>
          </w:rPr>
          <w:t>Kirklees SEND Transformation plan</w:t>
        </w:r>
      </w:hyperlink>
    </w:p>
    <w:p w14:paraId="553A4810" w14:textId="77777777" w:rsidR="00C308C6" w:rsidRPr="00220F41" w:rsidRDefault="00C308C6" w:rsidP="00393CB3">
      <w:pPr>
        <w:ind w:left="720"/>
        <w:rPr>
          <w:rFonts w:cstheme="minorHAnsi"/>
          <w:sz w:val="32"/>
          <w:szCs w:val="32"/>
        </w:rPr>
      </w:pPr>
    </w:p>
    <w:p w14:paraId="2B8A6702" w14:textId="03755E43" w:rsidR="00393CB3" w:rsidRPr="00220F41" w:rsidRDefault="00393CB3" w:rsidP="00393CB3">
      <w:pPr>
        <w:pStyle w:val="ListParagraph"/>
        <w:numPr>
          <w:ilvl w:val="0"/>
          <w:numId w:val="4"/>
        </w:numPr>
        <w:rPr>
          <w:rFonts w:cstheme="minorHAnsi"/>
          <w:b/>
          <w:bCs/>
          <w:sz w:val="32"/>
          <w:szCs w:val="32"/>
        </w:rPr>
      </w:pPr>
      <w:r w:rsidRPr="00220F41">
        <w:rPr>
          <w:rFonts w:cstheme="minorHAnsi"/>
          <w:b/>
          <w:bCs/>
          <w:sz w:val="32"/>
          <w:szCs w:val="32"/>
        </w:rPr>
        <w:t xml:space="preserve">To develop the local multi-agency service offer to reduce the impact that Domestic abuse has upon children.  </w:t>
      </w:r>
    </w:p>
    <w:p w14:paraId="48ADDFEB" w14:textId="20736254" w:rsidR="00393CB3" w:rsidRPr="00220F41" w:rsidRDefault="00393CB3" w:rsidP="00393CB3">
      <w:pPr>
        <w:rPr>
          <w:rFonts w:cstheme="minorHAnsi"/>
          <w:b/>
          <w:bCs/>
          <w:sz w:val="32"/>
          <w:szCs w:val="32"/>
        </w:rPr>
      </w:pPr>
    </w:p>
    <w:p w14:paraId="74A13A83" w14:textId="77777777" w:rsidR="00393CB3" w:rsidRPr="00393CB3" w:rsidRDefault="00393CB3" w:rsidP="00393CB3">
      <w:pPr>
        <w:ind w:left="720"/>
        <w:rPr>
          <w:rFonts w:cstheme="minorHAnsi"/>
          <w:sz w:val="32"/>
          <w:szCs w:val="32"/>
        </w:rPr>
      </w:pPr>
      <w:r w:rsidRPr="00393CB3">
        <w:rPr>
          <w:rFonts w:cstheme="minorHAnsi"/>
          <w:sz w:val="32"/>
          <w:szCs w:val="32"/>
        </w:rPr>
        <w:t>We have undertaken a gap analysis and developed an action plan based on strengthening existing service provision by addressing the identified gaps.</w:t>
      </w:r>
    </w:p>
    <w:p w14:paraId="684E9A04" w14:textId="77777777" w:rsidR="00393CB3" w:rsidRPr="00393CB3" w:rsidRDefault="00393CB3" w:rsidP="00393CB3">
      <w:pPr>
        <w:ind w:left="720"/>
        <w:rPr>
          <w:rFonts w:cstheme="minorHAnsi"/>
          <w:sz w:val="32"/>
          <w:szCs w:val="32"/>
        </w:rPr>
      </w:pPr>
      <w:r w:rsidRPr="00393CB3">
        <w:rPr>
          <w:rFonts w:cstheme="minorHAnsi"/>
          <w:sz w:val="32"/>
          <w:szCs w:val="32"/>
        </w:rPr>
        <w:t xml:space="preserve">We have developed the local multi-agency service offer to reduce the impact that Domestic abuse has upon children.  </w:t>
      </w:r>
    </w:p>
    <w:p w14:paraId="058FF54E" w14:textId="5E9294EB" w:rsidR="00393CB3" w:rsidRPr="00220F41" w:rsidRDefault="00393CB3" w:rsidP="00393CB3">
      <w:pPr>
        <w:ind w:left="720"/>
        <w:rPr>
          <w:rFonts w:cstheme="minorHAnsi"/>
          <w:sz w:val="32"/>
          <w:szCs w:val="32"/>
        </w:rPr>
      </w:pPr>
      <w:r w:rsidRPr="00220F41">
        <w:rPr>
          <w:rFonts w:cstheme="minorHAnsi"/>
          <w:sz w:val="32"/>
          <w:szCs w:val="32"/>
        </w:rPr>
        <w:t>We have made recommendations to the next Kirklees Domestic Abuse strategy to ensure responses to Domestic abuse and the impact upon children are considered.</w:t>
      </w:r>
    </w:p>
    <w:p w14:paraId="3867D489" w14:textId="02516B75" w:rsidR="00393CB3" w:rsidRPr="00220F41" w:rsidRDefault="00393CB3" w:rsidP="00393CB3">
      <w:pPr>
        <w:ind w:left="720"/>
        <w:rPr>
          <w:rFonts w:cstheme="minorHAnsi"/>
          <w:b/>
          <w:bCs/>
          <w:sz w:val="32"/>
          <w:szCs w:val="32"/>
        </w:rPr>
      </w:pPr>
    </w:p>
    <w:p w14:paraId="08941943" w14:textId="137971D7" w:rsidR="00393CB3" w:rsidRPr="00220F41" w:rsidRDefault="00393CB3" w:rsidP="00393CB3">
      <w:pPr>
        <w:pStyle w:val="ListParagraph"/>
        <w:numPr>
          <w:ilvl w:val="0"/>
          <w:numId w:val="4"/>
        </w:numPr>
        <w:rPr>
          <w:rFonts w:cstheme="minorHAnsi"/>
          <w:b/>
          <w:bCs/>
          <w:sz w:val="32"/>
          <w:szCs w:val="32"/>
        </w:rPr>
      </w:pPr>
      <w:r w:rsidRPr="00220F41">
        <w:rPr>
          <w:rFonts w:cstheme="minorHAnsi"/>
          <w:b/>
          <w:bCs/>
          <w:sz w:val="32"/>
          <w:szCs w:val="32"/>
        </w:rPr>
        <w:t>Support children, young people and families to be resilient and identify and resolve their own problems before crises occur</w:t>
      </w:r>
      <w:r w:rsidR="00536034" w:rsidRPr="00220F41">
        <w:rPr>
          <w:rFonts w:cstheme="minorHAnsi"/>
          <w:b/>
          <w:bCs/>
          <w:sz w:val="32"/>
          <w:szCs w:val="32"/>
        </w:rPr>
        <w:t>.</w:t>
      </w:r>
    </w:p>
    <w:p w14:paraId="15CA1C6E" w14:textId="792BF768" w:rsidR="00393CB3" w:rsidRPr="00220F41" w:rsidRDefault="00393CB3" w:rsidP="00393CB3">
      <w:pPr>
        <w:rPr>
          <w:rFonts w:cstheme="minorHAnsi"/>
          <w:b/>
          <w:bCs/>
          <w:sz w:val="32"/>
          <w:szCs w:val="32"/>
        </w:rPr>
      </w:pPr>
    </w:p>
    <w:p w14:paraId="26BF5269" w14:textId="4DC026C4" w:rsidR="00393CB3" w:rsidRPr="00220F41" w:rsidRDefault="00393CB3" w:rsidP="00393CB3">
      <w:pPr>
        <w:ind w:left="720"/>
        <w:rPr>
          <w:rFonts w:cstheme="minorHAnsi"/>
          <w:sz w:val="32"/>
          <w:szCs w:val="32"/>
        </w:rPr>
      </w:pPr>
      <w:r w:rsidRPr="00220F41">
        <w:rPr>
          <w:rFonts w:cstheme="minorHAnsi"/>
          <w:sz w:val="32"/>
          <w:szCs w:val="32"/>
        </w:rPr>
        <w:t> We have significantly strengthened our Early Support work through our Families Together programme.</w:t>
      </w:r>
    </w:p>
    <w:p w14:paraId="2B1C5041" w14:textId="7C344BF8" w:rsidR="00C308C6" w:rsidRPr="00C308C6" w:rsidRDefault="00C308C6" w:rsidP="00C308C6">
      <w:pPr>
        <w:ind w:left="720"/>
        <w:rPr>
          <w:rFonts w:cstheme="minorHAnsi"/>
          <w:sz w:val="32"/>
          <w:szCs w:val="32"/>
        </w:rPr>
      </w:pPr>
      <w:r w:rsidRPr="00C308C6">
        <w:rPr>
          <w:rFonts w:cstheme="minorHAnsi"/>
          <w:sz w:val="32"/>
          <w:szCs w:val="32"/>
        </w:rPr>
        <w:t xml:space="preserve">Family Hubs are four areas within Kirklees: Batley and Spenborough; Dewsbury and Mirfield; Huddersfield and Kirklees Rural. They bring communities and services together so that families can get Early Support when and where they need it. There </w:t>
      </w:r>
      <w:r>
        <w:rPr>
          <w:rFonts w:cstheme="minorHAnsi"/>
          <w:sz w:val="32"/>
          <w:szCs w:val="32"/>
        </w:rPr>
        <w:t>are</w:t>
      </w:r>
      <w:r w:rsidRPr="00C308C6">
        <w:rPr>
          <w:rFonts w:cstheme="minorHAnsi"/>
          <w:sz w:val="32"/>
          <w:szCs w:val="32"/>
        </w:rPr>
        <w:t xml:space="preserve"> services and activities for children, young people and families. Our aim is to support people every step of the way: from before being born through to adulthood.</w:t>
      </w:r>
    </w:p>
    <w:p w14:paraId="5F9C1AD2" w14:textId="02BDE088" w:rsidR="00393CB3" w:rsidRPr="00220F41" w:rsidRDefault="00393CB3" w:rsidP="00393CB3">
      <w:pPr>
        <w:ind w:left="720"/>
        <w:rPr>
          <w:rFonts w:cstheme="minorHAnsi"/>
          <w:b/>
          <w:bCs/>
          <w:sz w:val="32"/>
          <w:szCs w:val="32"/>
        </w:rPr>
      </w:pPr>
    </w:p>
    <w:p w14:paraId="495B66A5" w14:textId="3C656369" w:rsidR="00393CB3" w:rsidRPr="00220F41" w:rsidRDefault="00393CB3" w:rsidP="00393CB3">
      <w:pPr>
        <w:pStyle w:val="ListParagraph"/>
        <w:numPr>
          <w:ilvl w:val="0"/>
          <w:numId w:val="4"/>
        </w:numPr>
        <w:rPr>
          <w:rFonts w:cstheme="minorHAnsi"/>
          <w:b/>
          <w:bCs/>
          <w:sz w:val="32"/>
          <w:szCs w:val="32"/>
        </w:rPr>
      </w:pPr>
      <w:r w:rsidRPr="00220F41">
        <w:rPr>
          <w:rFonts w:cstheme="minorHAnsi"/>
          <w:b/>
          <w:bCs/>
          <w:sz w:val="32"/>
          <w:szCs w:val="32"/>
        </w:rPr>
        <w:t>Ensure that the voice of children, young people and their families is reflected throughout all agencies work.</w:t>
      </w:r>
    </w:p>
    <w:p w14:paraId="18A38D83" w14:textId="2933989C" w:rsidR="00393CB3" w:rsidRDefault="00393CB3" w:rsidP="00393CB3">
      <w:pPr>
        <w:rPr>
          <w:rFonts w:ascii="Arial" w:hAnsi="Arial" w:cs="Arial"/>
          <w:b/>
          <w:bCs/>
        </w:rPr>
      </w:pPr>
    </w:p>
    <w:p w14:paraId="3B7263E7" w14:textId="35110AF1" w:rsidR="00393CB3" w:rsidRPr="00220F41" w:rsidRDefault="00536034" w:rsidP="00393CB3">
      <w:pPr>
        <w:ind w:left="720"/>
        <w:rPr>
          <w:rFonts w:ascii="Calibri" w:hAnsi="Calibri" w:cs="Calibri"/>
          <w:sz w:val="32"/>
          <w:szCs w:val="32"/>
        </w:rPr>
      </w:pPr>
      <w:r w:rsidRPr="00220F41">
        <w:rPr>
          <w:rFonts w:ascii="Calibri" w:hAnsi="Calibri" w:cs="Calibri"/>
          <w:sz w:val="32"/>
          <w:szCs w:val="32"/>
        </w:rPr>
        <w:lastRenderedPageBreak/>
        <w:t>We have developed a subgroup to bring into the partnership a broad range of views from children, young people, and families through working together, intelligence gathering and carrying out analysis to understand what works already within single agencies and the wider multi agency forums.</w:t>
      </w:r>
    </w:p>
    <w:p w14:paraId="69DD7E1D" w14:textId="713C1212" w:rsidR="00536034" w:rsidRDefault="00536034" w:rsidP="00393CB3">
      <w:pPr>
        <w:ind w:left="720"/>
        <w:rPr>
          <w:rFonts w:ascii="Arial" w:hAnsi="Arial" w:cs="Arial"/>
        </w:rPr>
      </w:pPr>
    </w:p>
    <w:p w14:paraId="288E4031" w14:textId="744150D1" w:rsidR="00536034" w:rsidRDefault="00536034" w:rsidP="00393CB3">
      <w:pPr>
        <w:ind w:left="720"/>
        <w:rPr>
          <w:rFonts w:ascii="Arial" w:hAnsi="Arial" w:cs="Arial"/>
        </w:rPr>
      </w:pPr>
    </w:p>
    <w:p w14:paraId="08C66AE6" w14:textId="19A49B8E" w:rsidR="00536034" w:rsidRPr="00561BB2" w:rsidRDefault="00220F41" w:rsidP="00561BB2">
      <w:pPr>
        <w:pStyle w:val="Title"/>
        <w:jc w:val="left"/>
        <w:rPr>
          <w:rFonts w:asciiTheme="minorHAnsi" w:hAnsiTheme="minorHAnsi" w:cstheme="minorHAnsi"/>
          <w:color w:val="548DD4" w:themeColor="text2" w:themeTint="99"/>
          <w:sz w:val="40"/>
          <w:szCs w:val="40"/>
        </w:rPr>
      </w:pPr>
      <w:r w:rsidRPr="00561BB2">
        <w:rPr>
          <w:rFonts w:asciiTheme="minorHAnsi" w:hAnsiTheme="minorHAnsi" w:cstheme="minorHAnsi"/>
          <w:color w:val="548DD4" w:themeColor="text2" w:themeTint="99"/>
          <w:sz w:val="40"/>
          <w:szCs w:val="40"/>
        </w:rPr>
        <w:t xml:space="preserve">4. </w:t>
      </w:r>
      <w:r w:rsidR="00536034" w:rsidRPr="00561BB2">
        <w:rPr>
          <w:rFonts w:asciiTheme="minorHAnsi" w:hAnsiTheme="minorHAnsi" w:cstheme="minorHAnsi"/>
          <w:color w:val="548DD4" w:themeColor="text2" w:themeTint="99"/>
          <w:sz w:val="40"/>
          <w:szCs w:val="40"/>
        </w:rPr>
        <w:t>Governance, Assurance and Oversight</w:t>
      </w:r>
    </w:p>
    <w:p w14:paraId="3DC1DA93" w14:textId="50EB0980" w:rsidR="00536034" w:rsidRDefault="00536034" w:rsidP="00536034">
      <w:pPr>
        <w:rPr>
          <w:rFonts w:ascii="Arial" w:hAnsi="Arial" w:cs="Arial"/>
          <w:b/>
          <w:bCs/>
        </w:rPr>
      </w:pPr>
    </w:p>
    <w:p w14:paraId="6A66027B" w14:textId="77777777" w:rsidR="00536034" w:rsidRPr="00536034" w:rsidRDefault="00536034" w:rsidP="00536034">
      <w:pPr>
        <w:rPr>
          <w:rFonts w:cstheme="minorHAnsi"/>
          <w:sz w:val="32"/>
          <w:szCs w:val="32"/>
        </w:rPr>
      </w:pPr>
      <w:r w:rsidRPr="00536034">
        <w:rPr>
          <w:rFonts w:cstheme="minorHAnsi"/>
          <w:sz w:val="32"/>
          <w:szCs w:val="32"/>
        </w:rPr>
        <w:t>During the reporting period the KSCP Executive Group met on seven (7) times to assure themselves that the Partners continue to deliver against the priorities of the Business plan.</w:t>
      </w:r>
    </w:p>
    <w:p w14:paraId="667A0F42" w14:textId="77777777" w:rsidR="00536034" w:rsidRPr="00536034" w:rsidRDefault="00536034" w:rsidP="00536034">
      <w:pPr>
        <w:rPr>
          <w:rFonts w:cstheme="minorHAnsi"/>
          <w:sz w:val="32"/>
          <w:szCs w:val="32"/>
        </w:rPr>
      </w:pPr>
      <w:r w:rsidRPr="00536034">
        <w:rPr>
          <w:rFonts w:cstheme="minorHAnsi"/>
          <w:sz w:val="32"/>
          <w:szCs w:val="32"/>
        </w:rPr>
        <w:t>Attendance at the KSCP Executive comprises of the three key partners from Children’s Services, West Yorkshire Police and the Kirklees Clinical Commissioning</w:t>
      </w:r>
      <w:r w:rsidRPr="00536034">
        <w:rPr>
          <w:rFonts w:ascii="Arial" w:hAnsi="Arial" w:cs="Arial"/>
        </w:rPr>
        <w:t xml:space="preserve"> </w:t>
      </w:r>
      <w:r w:rsidRPr="00536034">
        <w:rPr>
          <w:rFonts w:cstheme="minorHAnsi"/>
          <w:sz w:val="32"/>
          <w:szCs w:val="32"/>
        </w:rPr>
        <w:t>Group and also includes representation from Education, Public Health and the Independent Scrutineer.</w:t>
      </w:r>
    </w:p>
    <w:p w14:paraId="73A84A5D" w14:textId="77777777" w:rsidR="00536034" w:rsidRPr="00536034" w:rsidRDefault="00536034" w:rsidP="00536034">
      <w:pPr>
        <w:rPr>
          <w:rFonts w:cstheme="minorHAnsi"/>
          <w:sz w:val="32"/>
          <w:szCs w:val="32"/>
        </w:rPr>
      </w:pPr>
      <w:r w:rsidRPr="00536034">
        <w:rPr>
          <w:rFonts w:cstheme="minorHAnsi"/>
          <w:sz w:val="32"/>
          <w:szCs w:val="32"/>
        </w:rPr>
        <w:t>Partners give significant input of time, commitment and resources.</w:t>
      </w:r>
    </w:p>
    <w:p w14:paraId="1A39C780" w14:textId="43DCD4F6" w:rsidR="00536034" w:rsidRPr="00536034" w:rsidRDefault="00536034" w:rsidP="00536034">
      <w:pPr>
        <w:rPr>
          <w:rFonts w:cstheme="minorHAnsi"/>
          <w:sz w:val="32"/>
          <w:szCs w:val="32"/>
        </w:rPr>
      </w:pPr>
      <w:r w:rsidRPr="00536034">
        <w:rPr>
          <w:rFonts w:cstheme="minorHAnsi"/>
          <w:sz w:val="32"/>
          <w:szCs w:val="32"/>
        </w:rPr>
        <w:t xml:space="preserve">The KSCP Business Manager and Secretariat supports the work of the KSCP to help coordinate the sub groups who deliver against the priorities for the KSCP Executive. </w:t>
      </w:r>
    </w:p>
    <w:p w14:paraId="35A73AC3" w14:textId="77777777" w:rsidR="00536034" w:rsidRPr="00536034" w:rsidRDefault="00536034" w:rsidP="00536034">
      <w:pPr>
        <w:rPr>
          <w:rFonts w:cstheme="minorHAnsi"/>
          <w:sz w:val="32"/>
          <w:szCs w:val="32"/>
        </w:rPr>
      </w:pPr>
      <w:r w:rsidRPr="00536034">
        <w:rPr>
          <w:rFonts w:cstheme="minorHAnsi"/>
          <w:sz w:val="32"/>
          <w:szCs w:val="32"/>
        </w:rPr>
        <w:t>The role of the KSCP over this reporting period has been to:</w:t>
      </w:r>
    </w:p>
    <w:p w14:paraId="6B862CB2" w14:textId="09E2BA63"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Jointly identify safeguarding priorities for Kirklees and to monitor against the Safeguarding Children Business Plan. </w:t>
      </w:r>
    </w:p>
    <w:p w14:paraId="156D8B0C" w14:textId="70D4BC9B"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Receive reports from the Executive Group and other partners in respect of the delivery of the Business Plan. </w:t>
      </w:r>
    </w:p>
    <w:p w14:paraId="267C11DE" w14:textId="5A151359"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Consider reports on relevant learning and development activity</w:t>
      </w:r>
      <w:r w:rsidR="00220F41">
        <w:rPr>
          <w:rFonts w:cstheme="minorHAnsi"/>
          <w:sz w:val="32"/>
          <w:szCs w:val="32"/>
        </w:rPr>
        <w:t>.</w:t>
      </w:r>
      <w:r w:rsidRPr="00220F41">
        <w:rPr>
          <w:rFonts w:cstheme="minorHAnsi"/>
          <w:sz w:val="32"/>
          <w:szCs w:val="32"/>
        </w:rPr>
        <w:t xml:space="preserve"> </w:t>
      </w:r>
    </w:p>
    <w:p w14:paraId="00C64892" w14:textId="0AFC5093"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Receive reports from Independent Scrutiny activity. </w:t>
      </w:r>
    </w:p>
    <w:p w14:paraId="51DAB120" w14:textId="3AD168A0"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Receive reports on activity and the viewpoints of children and young people. </w:t>
      </w:r>
    </w:p>
    <w:p w14:paraId="4DC9F948" w14:textId="1DB611D6"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Act as a reference group for the Safeguarding Partners. </w:t>
      </w:r>
    </w:p>
    <w:p w14:paraId="586D3099" w14:textId="430EB6C1"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t xml:space="preserve">Identify and take action on new and emerging issues in the Borough in respect of children’s safeguarding. </w:t>
      </w:r>
    </w:p>
    <w:p w14:paraId="63D85401" w14:textId="58D3FABD" w:rsidR="00536034" w:rsidRPr="00220F41" w:rsidRDefault="00536034" w:rsidP="00536034">
      <w:pPr>
        <w:pStyle w:val="ListParagraph"/>
        <w:numPr>
          <w:ilvl w:val="0"/>
          <w:numId w:val="6"/>
        </w:numPr>
        <w:rPr>
          <w:rFonts w:cstheme="minorHAnsi"/>
          <w:sz w:val="32"/>
          <w:szCs w:val="32"/>
        </w:rPr>
      </w:pPr>
      <w:r w:rsidRPr="00220F41">
        <w:rPr>
          <w:rFonts w:cstheme="minorHAnsi"/>
          <w:sz w:val="32"/>
          <w:szCs w:val="32"/>
        </w:rPr>
        <w:lastRenderedPageBreak/>
        <w:t>Ensure effective linkages with other relevant partnerships and governance structures.</w:t>
      </w:r>
    </w:p>
    <w:p w14:paraId="57470863" w14:textId="2DD62C6D" w:rsidR="00536034" w:rsidRDefault="00536034" w:rsidP="00536034">
      <w:pPr>
        <w:rPr>
          <w:rFonts w:ascii="Arial" w:hAnsi="Arial" w:cs="Arial"/>
        </w:rPr>
      </w:pPr>
    </w:p>
    <w:p w14:paraId="1D6F07C9" w14:textId="478A7B2B" w:rsidR="00536034" w:rsidRPr="00220F41" w:rsidRDefault="00536034" w:rsidP="00536034">
      <w:pPr>
        <w:rPr>
          <w:rFonts w:ascii="Calibri" w:hAnsi="Calibri" w:cs="Calibri"/>
          <w:sz w:val="32"/>
          <w:szCs w:val="32"/>
        </w:rPr>
      </w:pPr>
    </w:p>
    <w:p w14:paraId="26A3EF99" w14:textId="6EB60426" w:rsidR="00536034" w:rsidRPr="00561BB2" w:rsidRDefault="00220F41" w:rsidP="00561BB2">
      <w:pPr>
        <w:pStyle w:val="Heading1"/>
        <w:rPr>
          <w:rFonts w:asciiTheme="minorHAnsi" w:hAnsiTheme="minorHAnsi" w:cstheme="minorHAnsi"/>
          <w:color w:val="548DD4" w:themeColor="text2" w:themeTint="99"/>
          <w:sz w:val="40"/>
          <w:szCs w:val="40"/>
        </w:rPr>
      </w:pPr>
      <w:r w:rsidRPr="00561BB2">
        <w:rPr>
          <w:rFonts w:asciiTheme="minorHAnsi" w:hAnsiTheme="minorHAnsi" w:cstheme="minorHAnsi"/>
          <w:color w:val="548DD4" w:themeColor="text2" w:themeTint="99"/>
          <w:sz w:val="40"/>
          <w:szCs w:val="40"/>
        </w:rPr>
        <w:t xml:space="preserve">5. </w:t>
      </w:r>
      <w:r w:rsidR="00536034" w:rsidRPr="00561BB2">
        <w:rPr>
          <w:rFonts w:asciiTheme="minorHAnsi" w:hAnsiTheme="minorHAnsi" w:cstheme="minorHAnsi"/>
          <w:color w:val="548DD4" w:themeColor="text2" w:themeTint="99"/>
          <w:sz w:val="40"/>
          <w:szCs w:val="40"/>
        </w:rPr>
        <w:t>Independent Scrutineer</w:t>
      </w:r>
    </w:p>
    <w:p w14:paraId="18C0184E" w14:textId="1C712B06" w:rsidR="00536034" w:rsidRDefault="00536034" w:rsidP="00536034">
      <w:pPr>
        <w:rPr>
          <w:rFonts w:ascii="Arial" w:hAnsi="Arial" w:cs="Arial"/>
          <w:b/>
          <w:bCs/>
        </w:rPr>
      </w:pPr>
    </w:p>
    <w:p w14:paraId="672F0F2C"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 xml:space="preserve">The KSCP has designed and set out a proposed model for developing effective and enhanced scrutiny within the Multi-agency safeguarding children arrangements. The intention being to clearly outline the Kirklees position on scrutiny as a tool for driving improvement, to articulate the vital and important role that the workforce, parents/ carers and children and young people play in challenging services and in shaping service responses. The development of our scrutiny model has been informed by good practice and research. </w:t>
      </w:r>
    </w:p>
    <w:p w14:paraId="13660665"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 xml:space="preserve">We have therefore: </w:t>
      </w:r>
    </w:p>
    <w:p w14:paraId="4C100A63" w14:textId="77777777" w:rsidR="00536034" w:rsidRPr="00536034" w:rsidRDefault="00536034" w:rsidP="00536034">
      <w:pPr>
        <w:rPr>
          <w:rFonts w:cstheme="minorHAnsi"/>
          <w:sz w:val="32"/>
          <w:szCs w:val="32"/>
        </w:rPr>
      </w:pPr>
      <w:r w:rsidRPr="00536034">
        <w:rPr>
          <w:rFonts w:cstheme="minorHAnsi"/>
          <w:sz w:val="32"/>
          <w:szCs w:val="32"/>
        </w:rPr>
        <w:t xml:space="preserve">Endorsed an approach and scrutiny plan.  </w:t>
      </w:r>
    </w:p>
    <w:p w14:paraId="1E6B4C90" w14:textId="67EE39FB" w:rsidR="00536034" w:rsidRPr="00536034" w:rsidRDefault="00536034" w:rsidP="00536034">
      <w:pPr>
        <w:rPr>
          <w:rFonts w:cstheme="minorHAnsi"/>
          <w:sz w:val="32"/>
          <w:szCs w:val="32"/>
        </w:rPr>
      </w:pPr>
      <w:r w:rsidRPr="00536034">
        <w:rPr>
          <w:rFonts w:cstheme="minorHAnsi"/>
          <w:sz w:val="32"/>
          <w:szCs w:val="32"/>
        </w:rPr>
        <w:t>Formally signed up as a partnership to the formal principles as adapted locally for the Multi Agency Safeguarding Arrangements (MASA).</w:t>
      </w:r>
    </w:p>
    <w:p w14:paraId="1564E690" w14:textId="77777777" w:rsidR="00536034" w:rsidRPr="00536034" w:rsidRDefault="00536034" w:rsidP="00536034">
      <w:pPr>
        <w:rPr>
          <w:rFonts w:cstheme="minorHAnsi"/>
          <w:sz w:val="32"/>
          <w:szCs w:val="32"/>
        </w:rPr>
      </w:pPr>
      <w:r w:rsidRPr="00536034">
        <w:rPr>
          <w:rFonts w:cstheme="minorHAnsi"/>
          <w:sz w:val="32"/>
          <w:szCs w:val="32"/>
        </w:rPr>
        <w:t xml:space="preserve">Committed to supporting a multi -agency response to look at system wide issues within the safeguarding system. </w:t>
      </w:r>
    </w:p>
    <w:p w14:paraId="3C8C51FB" w14:textId="7E15325A" w:rsidR="00536034" w:rsidRPr="00220F41" w:rsidRDefault="00536034" w:rsidP="00536034">
      <w:pPr>
        <w:rPr>
          <w:rFonts w:cstheme="minorHAnsi"/>
          <w:sz w:val="32"/>
          <w:szCs w:val="32"/>
        </w:rPr>
      </w:pPr>
      <w:r w:rsidRPr="00220F41">
        <w:rPr>
          <w:rFonts w:cstheme="minorHAnsi"/>
          <w:sz w:val="32"/>
          <w:szCs w:val="32"/>
        </w:rPr>
        <w:t>Supported a widening of scrutiny activity beyond a single individual, and agreed that the named scrutineer ‘holds the ring‘</w:t>
      </w:r>
      <w:r w:rsidR="000C150D">
        <w:rPr>
          <w:rFonts w:cstheme="minorHAnsi"/>
          <w:sz w:val="32"/>
          <w:szCs w:val="32"/>
        </w:rPr>
        <w:t xml:space="preserve"> </w:t>
      </w:r>
      <w:r w:rsidRPr="00220F41">
        <w:rPr>
          <w:rFonts w:cstheme="minorHAnsi"/>
          <w:sz w:val="32"/>
          <w:szCs w:val="32"/>
        </w:rPr>
        <w:t>in pulling scrutiny activity together in a meaningful way to support the Partnership Executive.</w:t>
      </w:r>
    </w:p>
    <w:p w14:paraId="32AE1412" w14:textId="5B44CB35" w:rsidR="00536034" w:rsidRDefault="00536034" w:rsidP="00536034">
      <w:pPr>
        <w:rPr>
          <w:rFonts w:ascii="Arial" w:hAnsi="Arial" w:cs="Arial"/>
        </w:rPr>
      </w:pPr>
    </w:p>
    <w:p w14:paraId="793493D5" w14:textId="110A0DAD" w:rsidR="00536034" w:rsidRDefault="00C308C6" w:rsidP="00536034">
      <w:pPr>
        <w:rPr>
          <w:rFonts w:ascii="Arial" w:hAnsi="Arial" w:cs="Arial"/>
        </w:rPr>
      </w:pPr>
      <w:hyperlink r:id="rId14" w:history="1">
        <w:r w:rsidR="00536034" w:rsidRPr="00536034">
          <w:rPr>
            <w:rStyle w:val="Hyperlink"/>
            <w:rFonts w:ascii="Arial" w:hAnsi="Arial" w:cs="Arial"/>
          </w:rPr>
          <w:t>Full MASA Report</w:t>
        </w:r>
      </w:hyperlink>
    </w:p>
    <w:p w14:paraId="49BB5281" w14:textId="32590298" w:rsidR="00536034" w:rsidRDefault="00536034" w:rsidP="00536034">
      <w:pPr>
        <w:rPr>
          <w:rFonts w:ascii="Arial" w:hAnsi="Arial" w:cs="Arial"/>
        </w:rPr>
      </w:pPr>
    </w:p>
    <w:p w14:paraId="120B4928" w14:textId="77777777" w:rsidR="00536034" w:rsidRDefault="00536034" w:rsidP="00434500">
      <w:pPr>
        <w:pStyle w:val="Heading1"/>
      </w:pPr>
      <w:r w:rsidRPr="00536034">
        <w:t>The purpose and expected impact of scrutiny:</w:t>
      </w:r>
    </w:p>
    <w:p w14:paraId="3088FC6E" w14:textId="77777777" w:rsidR="00536034" w:rsidRDefault="00536034" w:rsidP="00536034">
      <w:pPr>
        <w:rPr>
          <w:rFonts w:ascii="Arial" w:hAnsi="Arial" w:cs="Arial"/>
        </w:rPr>
      </w:pPr>
    </w:p>
    <w:p w14:paraId="0C2394B3" w14:textId="051F147C" w:rsidR="00536034" w:rsidRPr="00536034" w:rsidRDefault="00536034" w:rsidP="00536034">
      <w:pPr>
        <w:rPr>
          <w:rFonts w:cstheme="minorHAnsi"/>
          <w:sz w:val="32"/>
          <w:szCs w:val="32"/>
        </w:rPr>
      </w:pPr>
      <w:r w:rsidRPr="00536034">
        <w:rPr>
          <w:rFonts w:cstheme="minorHAnsi"/>
          <w:sz w:val="32"/>
          <w:szCs w:val="32"/>
        </w:rPr>
        <w:t xml:space="preserve">The University of Bedfordshire developed a report and toolkit to support the development of local approaches to scrutiny activity. scrutiny activity conducted by KSCP and the Independent Scrutineer to date and will continue to form a golden thread running through </w:t>
      </w:r>
      <w:r w:rsidRPr="00536034">
        <w:rPr>
          <w:rFonts w:cstheme="minorHAnsi"/>
          <w:sz w:val="32"/>
          <w:szCs w:val="32"/>
        </w:rPr>
        <w:lastRenderedPageBreak/>
        <w:t xml:space="preserve">the scrutiny activity plan set out below. Namely all scrutiny activity will link to </w:t>
      </w:r>
    </w:p>
    <w:p w14:paraId="4C0C3B5E" w14:textId="60EA8073"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strategic planning and policy implications for the three statutory partners </w:t>
      </w:r>
    </w:p>
    <w:p w14:paraId="0C4E62AA" w14:textId="085F661E"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engagement of the wider safeguarding partners </w:t>
      </w:r>
    </w:p>
    <w:p w14:paraId="362BBB3F" w14:textId="36634626"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involvement of children and young people in safeguarding plans at an individual and service level </w:t>
      </w:r>
    </w:p>
    <w:p w14:paraId="46BB2F29" w14:textId="2B6038D6"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quality assurance processes to measure how much? And how well? Alongside impact </w:t>
      </w:r>
    </w:p>
    <w:p w14:paraId="160D187B" w14:textId="1A6A5CBC"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clear link to national and local learning from serious cases </w:t>
      </w:r>
    </w:p>
    <w:p w14:paraId="0F70DF55" w14:textId="02CB66C0" w:rsidR="00536034" w:rsidRPr="00220F41" w:rsidRDefault="00536034" w:rsidP="00220F41">
      <w:pPr>
        <w:pStyle w:val="ListParagraph"/>
        <w:numPr>
          <w:ilvl w:val="0"/>
          <w:numId w:val="19"/>
        </w:numPr>
        <w:rPr>
          <w:rFonts w:cstheme="minorHAnsi"/>
          <w:sz w:val="32"/>
          <w:szCs w:val="32"/>
        </w:rPr>
      </w:pPr>
      <w:r w:rsidRPr="00220F41">
        <w:rPr>
          <w:rFonts w:cstheme="minorHAnsi"/>
          <w:sz w:val="32"/>
          <w:szCs w:val="32"/>
        </w:rPr>
        <w:t xml:space="preserve">The planned programme of workforce development </w:t>
      </w:r>
    </w:p>
    <w:p w14:paraId="4F779B55" w14:textId="77777777" w:rsidR="00536034" w:rsidRPr="00220F41" w:rsidRDefault="00536034" w:rsidP="00536034">
      <w:pPr>
        <w:rPr>
          <w:rFonts w:cstheme="minorHAnsi"/>
          <w:sz w:val="32"/>
          <w:szCs w:val="32"/>
        </w:rPr>
      </w:pPr>
      <w:r w:rsidRPr="00220F41">
        <w:rPr>
          <w:rFonts w:cstheme="minorHAnsi"/>
          <w:sz w:val="32"/>
          <w:szCs w:val="32"/>
        </w:rPr>
        <w:t>In Kirklees we are seeking to take independent scrutiny from a process driven event to an enhanced approach that includes regular constructive dialogue with those who use our services.</w:t>
      </w:r>
    </w:p>
    <w:p w14:paraId="171B1500" w14:textId="77777777" w:rsidR="00536034" w:rsidRDefault="00536034" w:rsidP="00536034">
      <w:pPr>
        <w:rPr>
          <w:rFonts w:ascii="Arial" w:hAnsi="Arial" w:cs="Arial"/>
        </w:rPr>
      </w:pPr>
    </w:p>
    <w:p w14:paraId="1BC551FE" w14:textId="14619212" w:rsidR="00536034" w:rsidRDefault="00536034" w:rsidP="00434500">
      <w:pPr>
        <w:pStyle w:val="Heading1"/>
      </w:pPr>
      <w:r w:rsidRPr="00536034">
        <w:t>Scrutiny engagement across the system:</w:t>
      </w:r>
    </w:p>
    <w:p w14:paraId="1A26AC48" w14:textId="58AC0385" w:rsidR="00536034" w:rsidRDefault="00536034" w:rsidP="00536034">
      <w:pPr>
        <w:rPr>
          <w:rFonts w:ascii="Arial" w:hAnsi="Arial" w:cs="Arial"/>
          <w:b/>
          <w:bCs/>
        </w:rPr>
      </w:pPr>
    </w:p>
    <w:p w14:paraId="4E0F92F4"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 xml:space="preserve">Practitioners and workforce: We have been able to use virtual means to engage with the workforce on critical service issues and serious cases, we use the same format to engage with a workforce group on the themes identified for scrutiny. </w:t>
      </w:r>
    </w:p>
    <w:p w14:paraId="46857873"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 xml:space="preserve">Children and Young people: There are a number of existing forums to assist us to engage with young people that provide a valuable insight into their perception of services. These include: </w:t>
      </w:r>
    </w:p>
    <w:p w14:paraId="096ABD81"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w:t>
      </w:r>
      <w:r w:rsidRPr="00536034">
        <w:rPr>
          <w:rFonts w:ascii="Calibri" w:hAnsi="Calibri" w:cs="Calibri"/>
          <w:sz w:val="32"/>
          <w:szCs w:val="32"/>
        </w:rPr>
        <w:tab/>
        <w:t xml:space="preserve">The Children in Care councils </w:t>
      </w:r>
    </w:p>
    <w:p w14:paraId="5EF4BCA7"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w:t>
      </w:r>
      <w:r w:rsidRPr="00536034">
        <w:rPr>
          <w:rFonts w:ascii="Calibri" w:hAnsi="Calibri" w:cs="Calibri"/>
          <w:sz w:val="32"/>
          <w:szCs w:val="32"/>
        </w:rPr>
        <w:tab/>
        <w:t>The Our Voice group</w:t>
      </w:r>
    </w:p>
    <w:p w14:paraId="6DF634BF"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w:t>
      </w:r>
      <w:r w:rsidRPr="00536034">
        <w:rPr>
          <w:rFonts w:ascii="Calibri" w:hAnsi="Calibri" w:cs="Calibri"/>
          <w:sz w:val="32"/>
          <w:szCs w:val="32"/>
        </w:rPr>
        <w:tab/>
        <w:t xml:space="preserve">The Youth offer group </w:t>
      </w:r>
    </w:p>
    <w:p w14:paraId="19527AAD"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w:t>
      </w:r>
      <w:r w:rsidRPr="00536034">
        <w:rPr>
          <w:rFonts w:ascii="Calibri" w:hAnsi="Calibri" w:cs="Calibri"/>
          <w:sz w:val="32"/>
          <w:szCs w:val="32"/>
        </w:rPr>
        <w:tab/>
        <w:t xml:space="preserve">The LGBT group facilitated by the Brunswick centre </w:t>
      </w:r>
    </w:p>
    <w:p w14:paraId="0C38F8EC"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w:t>
      </w:r>
      <w:r w:rsidRPr="00536034">
        <w:rPr>
          <w:rFonts w:ascii="Calibri" w:hAnsi="Calibri" w:cs="Calibri"/>
          <w:sz w:val="32"/>
          <w:szCs w:val="32"/>
        </w:rPr>
        <w:tab/>
        <w:t xml:space="preserve">The Youth parliament </w:t>
      </w:r>
    </w:p>
    <w:p w14:paraId="5A0FFC73" w14:textId="46CB1F80" w:rsidR="00536034" w:rsidRPr="00220F41" w:rsidRDefault="00536034" w:rsidP="00536034">
      <w:pPr>
        <w:rPr>
          <w:rFonts w:ascii="Calibri" w:hAnsi="Calibri" w:cs="Calibri"/>
          <w:sz w:val="32"/>
          <w:szCs w:val="32"/>
        </w:rPr>
      </w:pPr>
      <w:r w:rsidRPr="00220F41">
        <w:rPr>
          <w:rFonts w:ascii="Calibri" w:hAnsi="Calibri" w:cs="Calibri"/>
          <w:sz w:val="32"/>
          <w:szCs w:val="32"/>
        </w:rPr>
        <w:t>•</w:t>
      </w:r>
      <w:r w:rsidRPr="00220F41">
        <w:rPr>
          <w:rFonts w:ascii="Calibri" w:hAnsi="Calibri" w:cs="Calibri"/>
          <w:sz w:val="32"/>
          <w:szCs w:val="32"/>
        </w:rPr>
        <w:tab/>
        <w:t>School /College councils</w:t>
      </w:r>
    </w:p>
    <w:p w14:paraId="79845719" w14:textId="650E65F9" w:rsidR="00536034" w:rsidRPr="00220F41" w:rsidRDefault="00536034" w:rsidP="00536034">
      <w:pPr>
        <w:rPr>
          <w:rFonts w:ascii="Calibri" w:hAnsi="Calibri" w:cs="Calibri"/>
          <w:sz w:val="32"/>
          <w:szCs w:val="32"/>
        </w:rPr>
      </w:pPr>
    </w:p>
    <w:p w14:paraId="03331CB5" w14:textId="5E5F20B0" w:rsidR="00220F41" w:rsidRPr="00561BB2" w:rsidRDefault="00220F41" w:rsidP="00220F41">
      <w:pPr>
        <w:pStyle w:val="Heading1"/>
        <w:rPr>
          <w:rFonts w:asciiTheme="minorHAnsi" w:hAnsiTheme="minorHAnsi" w:cstheme="minorHAnsi"/>
          <w:color w:val="548DD4" w:themeColor="text2" w:themeTint="99"/>
          <w:sz w:val="40"/>
          <w:szCs w:val="40"/>
        </w:rPr>
      </w:pPr>
      <w:r w:rsidRPr="00561BB2">
        <w:rPr>
          <w:rFonts w:asciiTheme="minorHAnsi" w:hAnsiTheme="minorHAnsi" w:cstheme="minorHAnsi"/>
          <w:color w:val="548DD4" w:themeColor="text2" w:themeTint="99"/>
          <w:sz w:val="40"/>
          <w:szCs w:val="40"/>
        </w:rPr>
        <w:t>6. KSCP Structure</w:t>
      </w:r>
    </w:p>
    <w:p w14:paraId="5AE0EFB8" w14:textId="77777777" w:rsidR="00220F41" w:rsidRDefault="00220F41" w:rsidP="00220F41">
      <w:pPr>
        <w:rPr>
          <w:rFonts w:ascii="Arial" w:hAnsi="Arial" w:cs="Arial"/>
          <w:b/>
          <w:bCs/>
        </w:rPr>
      </w:pPr>
    </w:p>
    <w:p w14:paraId="025946E2" w14:textId="77777777" w:rsidR="00220F41" w:rsidRPr="00220F41" w:rsidRDefault="00220F41" w:rsidP="00220F41">
      <w:pPr>
        <w:rPr>
          <w:rFonts w:ascii="Calibri" w:hAnsi="Calibri" w:cs="Calibri"/>
          <w:sz w:val="32"/>
          <w:szCs w:val="32"/>
        </w:rPr>
      </w:pPr>
      <w:r w:rsidRPr="00220F41">
        <w:rPr>
          <w:rFonts w:ascii="Calibri" w:hAnsi="Calibri" w:cs="Calibri"/>
          <w:sz w:val="32"/>
          <w:szCs w:val="32"/>
        </w:rPr>
        <w:t>Our Subgroups structure to fulfil this work includes:</w:t>
      </w:r>
    </w:p>
    <w:p w14:paraId="3600F8D6"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lastRenderedPageBreak/>
        <w:t>Strategic Exploitation Group</w:t>
      </w:r>
    </w:p>
    <w:p w14:paraId="5E56EE14"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Operational Exploitation Group</w:t>
      </w:r>
    </w:p>
    <w:p w14:paraId="47F858EC"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Strategic Learning and Development Group</w:t>
      </w:r>
    </w:p>
    <w:p w14:paraId="1D781F8B"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Safeguarding Effectiveness Group</w:t>
      </w:r>
    </w:p>
    <w:p w14:paraId="245EC7C0"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Child Safeguarding Practice Review Group</w:t>
      </w:r>
    </w:p>
    <w:p w14:paraId="6321E9B0" w14:textId="77777777" w:rsidR="00220F41" w:rsidRP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Child Death Overview Panel</w:t>
      </w:r>
    </w:p>
    <w:p w14:paraId="270EF615" w14:textId="2A6793E8" w:rsid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Policies, Procedures and Guidance Group</w:t>
      </w:r>
    </w:p>
    <w:p w14:paraId="29448780" w14:textId="3E0C8BA0" w:rsidR="00220F41" w:rsidRDefault="00220F41" w:rsidP="00220F41">
      <w:pPr>
        <w:pStyle w:val="ListParagraph"/>
        <w:numPr>
          <w:ilvl w:val="0"/>
          <w:numId w:val="18"/>
        </w:numPr>
        <w:rPr>
          <w:rFonts w:ascii="Calibri" w:hAnsi="Calibri" w:cs="Calibri"/>
          <w:sz w:val="32"/>
          <w:szCs w:val="32"/>
        </w:rPr>
      </w:pPr>
      <w:r w:rsidRPr="00220F41">
        <w:rPr>
          <w:rFonts w:ascii="Calibri" w:hAnsi="Calibri" w:cs="Calibri"/>
          <w:sz w:val="32"/>
          <w:szCs w:val="32"/>
        </w:rPr>
        <w:t>Independent Scrutiny Group</w:t>
      </w:r>
    </w:p>
    <w:p w14:paraId="02555152" w14:textId="089F7D39" w:rsidR="00561BB2" w:rsidRDefault="00561BB2" w:rsidP="00561BB2">
      <w:pPr>
        <w:rPr>
          <w:rFonts w:ascii="Calibri" w:hAnsi="Calibri" w:cs="Calibri"/>
          <w:sz w:val="32"/>
          <w:szCs w:val="32"/>
        </w:rPr>
      </w:pPr>
    </w:p>
    <w:p w14:paraId="69939EA4" w14:textId="79F1285A" w:rsidR="00561BB2" w:rsidRPr="00561BB2" w:rsidRDefault="00561BB2" w:rsidP="00561BB2">
      <w:pPr>
        <w:pStyle w:val="Heading1"/>
        <w:numPr>
          <w:ilvl w:val="0"/>
          <w:numId w:val="19"/>
        </w:numPr>
        <w:rPr>
          <w:color w:val="548DD4" w:themeColor="text2" w:themeTint="99"/>
        </w:rPr>
      </w:pPr>
      <w:r w:rsidRPr="00561BB2">
        <w:rPr>
          <w:color w:val="548DD4" w:themeColor="text2" w:themeTint="99"/>
        </w:rPr>
        <w:t>Subgroups</w:t>
      </w:r>
    </w:p>
    <w:p w14:paraId="62A1ED84" w14:textId="3F876DF8" w:rsidR="00220F41" w:rsidRDefault="00220F41" w:rsidP="00220F41">
      <w:pPr>
        <w:pStyle w:val="ListParagraph"/>
        <w:rPr>
          <w:rFonts w:ascii="Calibri" w:hAnsi="Calibri" w:cs="Calibri"/>
          <w:sz w:val="32"/>
          <w:szCs w:val="32"/>
        </w:rPr>
      </w:pPr>
    </w:p>
    <w:p w14:paraId="746AE017" w14:textId="14B6F538" w:rsidR="00536034" w:rsidRDefault="00110CC1" w:rsidP="00434500">
      <w:pPr>
        <w:pStyle w:val="Heading1"/>
      </w:pPr>
      <w:r>
        <w:t xml:space="preserve">7a. </w:t>
      </w:r>
      <w:r w:rsidR="00536034" w:rsidRPr="00536034">
        <w:t>Safeguarding Effectiveness Subgroup</w:t>
      </w:r>
    </w:p>
    <w:p w14:paraId="1E70C489" w14:textId="673081E6" w:rsidR="00536034" w:rsidRDefault="00536034" w:rsidP="00536034">
      <w:pPr>
        <w:rPr>
          <w:rFonts w:ascii="Arial" w:hAnsi="Arial" w:cs="Arial"/>
          <w:b/>
          <w:bCs/>
        </w:rPr>
      </w:pPr>
    </w:p>
    <w:p w14:paraId="729D8C89" w14:textId="77777777" w:rsidR="00536034" w:rsidRPr="00536034" w:rsidRDefault="00536034" w:rsidP="00536034">
      <w:pPr>
        <w:rPr>
          <w:rFonts w:ascii="Calibri" w:hAnsi="Calibri" w:cs="Calibri"/>
          <w:sz w:val="32"/>
          <w:szCs w:val="32"/>
        </w:rPr>
      </w:pPr>
      <w:r w:rsidRPr="00536034">
        <w:rPr>
          <w:rFonts w:ascii="Calibri" w:hAnsi="Calibri" w:cs="Calibri"/>
          <w:sz w:val="32"/>
          <w:szCs w:val="32"/>
        </w:rPr>
        <w:t>Influenced the following factors:</w:t>
      </w:r>
    </w:p>
    <w:p w14:paraId="21255763" w14:textId="77777777" w:rsidR="00536034" w:rsidRPr="00561BB2" w:rsidRDefault="00536034" w:rsidP="00561BB2">
      <w:pPr>
        <w:pStyle w:val="ListParagraph"/>
        <w:numPr>
          <w:ilvl w:val="0"/>
          <w:numId w:val="21"/>
        </w:numPr>
        <w:rPr>
          <w:rFonts w:ascii="Calibri" w:hAnsi="Calibri" w:cs="Calibri"/>
          <w:sz w:val="32"/>
          <w:szCs w:val="32"/>
        </w:rPr>
      </w:pPr>
      <w:r w:rsidRPr="00561BB2">
        <w:rPr>
          <w:rFonts w:ascii="Calibri" w:hAnsi="Calibri" w:cs="Calibri"/>
          <w:sz w:val="32"/>
          <w:szCs w:val="32"/>
        </w:rPr>
        <w:t xml:space="preserve">Key Partner Annual Reports  </w:t>
      </w:r>
    </w:p>
    <w:p w14:paraId="30962EEF" w14:textId="77777777" w:rsidR="00536034" w:rsidRPr="00561BB2" w:rsidRDefault="00536034" w:rsidP="00561BB2">
      <w:pPr>
        <w:pStyle w:val="ListParagraph"/>
        <w:numPr>
          <w:ilvl w:val="0"/>
          <w:numId w:val="21"/>
        </w:numPr>
        <w:rPr>
          <w:rFonts w:ascii="Calibri" w:hAnsi="Calibri" w:cs="Calibri"/>
          <w:sz w:val="32"/>
          <w:szCs w:val="32"/>
        </w:rPr>
      </w:pPr>
      <w:r w:rsidRPr="00561BB2">
        <w:rPr>
          <w:rFonts w:ascii="Calibri" w:hAnsi="Calibri" w:cs="Calibri"/>
          <w:sz w:val="32"/>
          <w:szCs w:val="32"/>
        </w:rPr>
        <w:t>System Indicators</w:t>
      </w:r>
    </w:p>
    <w:p w14:paraId="0C93429F" w14:textId="77777777" w:rsidR="00536034" w:rsidRPr="00561BB2" w:rsidRDefault="00536034" w:rsidP="00561BB2">
      <w:pPr>
        <w:pStyle w:val="ListParagraph"/>
        <w:numPr>
          <w:ilvl w:val="0"/>
          <w:numId w:val="21"/>
        </w:numPr>
        <w:rPr>
          <w:rFonts w:ascii="Calibri" w:hAnsi="Calibri" w:cs="Calibri"/>
          <w:sz w:val="32"/>
          <w:szCs w:val="32"/>
        </w:rPr>
      </w:pPr>
      <w:r w:rsidRPr="00561BB2">
        <w:rPr>
          <w:rFonts w:ascii="Calibri" w:hAnsi="Calibri" w:cs="Calibri"/>
          <w:sz w:val="32"/>
          <w:szCs w:val="32"/>
        </w:rPr>
        <w:t>Undertook a schedule of audits</w:t>
      </w:r>
    </w:p>
    <w:p w14:paraId="086F7F4B" w14:textId="77777777" w:rsidR="00536034" w:rsidRPr="00561BB2" w:rsidRDefault="00536034" w:rsidP="00561BB2">
      <w:pPr>
        <w:pStyle w:val="ListParagraph"/>
        <w:numPr>
          <w:ilvl w:val="0"/>
          <w:numId w:val="21"/>
        </w:numPr>
        <w:rPr>
          <w:rFonts w:ascii="Calibri" w:hAnsi="Calibri" w:cs="Calibri"/>
          <w:sz w:val="32"/>
          <w:szCs w:val="32"/>
        </w:rPr>
      </w:pPr>
      <w:r w:rsidRPr="00561BB2">
        <w:rPr>
          <w:rFonts w:ascii="Calibri" w:hAnsi="Calibri" w:cs="Calibri"/>
          <w:sz w:val="32"/>
          <w:szCs w:val="32"/>
        </w:rPr>
        <w:t>Used the system indicator report to identify themes and trends</w:t>
      </w:r>
    </w:p>
    <w:p w14:paraId="38731632" w14:textId="77777777" w:rsidR="00536034" w:rsidRPr="00536034" w:rsidRDefault="00536034" w:rsidP="00536034">
      <w:pPr>
        <w:rPr>
          <w:rFonts w:ascii="Arial" w:hAnsi="Arial" w:cs="Arial"/>
        </w:rPr>
      </w:pPr>
    </w:p>
    <w:p w14:paraId="32274D9D" w14:textId="77777777" w:rsidR="00536034" w:rsidRPr="00536034" w:rsidRDefault="00536034" w:rsidP="00536034">
      <w:pPr>
        <w:rPr>
          <w:rFonts w:cstheme="minorHAnsi"/>
          <w:sz w:val="32"/>
          <w:szCs w:val="32"/>
        </w:rPr>
      </w:pPr>
      <w:r w:rsidRPr="00536034">
        <w:rPr>
          <w:rFonts w:cstheme="minorHAnsi"/>
          <w:sz w:val="32"/>
          <w:szCs w:val="32"/>
        </w:rPr>
        <w:t>Future work planned for 2022 – 2023:</w:t>
      </w:r>
    </w:p>
    <w:p w14:paraId="28D94485" w14:textId="73568A43" w:rsidR="00536034" w:rsidRPr="00561BB2" w:rsidRDefault="00536034" w:rsidP="00561BB2">
      <w:pPr>
        <w:pStyle w:val="ListParagraph"/>
        <w:numPr>
          <w:ilvl w:val="0"/>
          <w:numId w:val="22"/>
        </w:numPr>
        <w:rPr>
          <w:rFonts w:cstheme="minorHAnsi"/>
          <w:sz w:val="32"/>
          <w:szCs w:val="32"/>
        </w:rPr>
      </w:pPr>
      <w:r w:rsidRPr="00561BB2">
        <w:rPr>
          <w:rFonts w:cstheme="minorHAnsi"/>
          <w:sz w:val="32"/>
          <w:szCs w:val="32"/>
        </w:rPr>
        <w:t xml:space="preserve">Multi-Agency Audits - ensure there is more of a direct link to other subgroups to ensure safeguarding effectiveness, performance monitoring and workforce development. </w:t>
      </w:r>
    </w:p>
    <w:p w14:paraId="32267CE8" w14:textId="5A033409" w:rsidR="00536034" w:rsidRPr="00561BB2" w:rsidRDefault="00536034" w:rsidP="00561BB2">
      <w:pPr>
        <w:pStyle w:val="ListParagraph"/>
        <w:numPr>
          <w:ilvl w:val="0"/>
          <w:numId w:val="22"/>
        </w:numPr>
        <w:rPr>
          <w:rFonts w:cstheme="minorHAnsi"/>
          <w:sz w:val="32"/>
          <w:szCs w:val="32"/>
        </w:rPr>
      </w:pPr>
      <w:r w:rsidRPr="00561BB2">
        <w:rPr>
          <w:rFonts w:cstheme="minorHAnsi"/>
          <w:sz w:val="32"/>
          <w:szCs w:val="32"/>
        </w:rPr>
        <w:t xml:space="preserve">Qualitative information - continued receipt of qualitative information obtained through audits from case reviews and other methods </w:t>
      </w:r>
    </w:p>
    <w:p w14:paraId="09929AEA" w14:textId="77777777" w:rsidR="00536034" w:rsidRPr="00561BB2" w:rsidRDefault="00536034" w:rsidP="00561BB2">
      <w:pPr>
        <w:pStyle w:val="ListParagraph"/>
        <w:numPr>
          <w:ilvl w:val="0"/>
          <w:numId w:val="22"/>
        </w:numPr>
        <w:rPr>
          <w:rFonts w:cstheme="minorHAnsi"/>
          <w:sz w:val="32"/>
          <w:szCs w:val="32"/>
        </w:rPr>
      </w:pPr>
      <w:r w:rsidRPr="00561BB2">
        <w:rPr>
          <w:rFonts w:cstheme="minorHAnsi"/>
          <w:sz w:val="32"/>
          <w:szCs w:val="32"/>
        </w:rPr>
        <w:t>System Indicators – Review and update to be undertaken</w:t>
      </w:r>
    </w:p>
    <w:p w14:paraId="584DB330" w14:textId="77777777" w:rsidR="00536034" w:rsidRPr="00536034" w:rsidRDefault="00536034" w:rsidP="00536034">
      <w:pPr>
        <w:rPr>
          <w:rFonts w:cstheme="minorHAnsi"/>
          <w:sz w:val="32"/>
          <w:szCs w:val="32"/>
        </w:rPr>
      </w:pPr>
    </w:p>
    <w:p w14:paraId="37E00A69" w14:textId="77777777" w:rsidR="00536034" w:rsidRPr="00536034" w:rsidRDefault="00536034" w:rsidP="00536034">
      <w:pPr>
        <w:rPr>
          <w:rFonts w:cstheme="minorHAnsi"/>
          <w:sz w:val="32"/>
          <w:szCs w:val="32"/>
        </w:rPr>
      </w:pPr>
      <w:r w:rsidRPr="00536034">
        <w:rPr>
          <w:rFonts w:cstheme="minorHAnsi"/>
          <w:sz w:val="32"/>
          <w:szCs w:val="32"/>
        </w:rPr>
        <w:t>Key Factor:</w:t>
      </w:r>
    </w:p>
    <w:p w14:paraId="4AF4555B" w14:textId="4343A7C2" w:rsidR="00536034" w:rsidRPr="00561BB2" w:rsidRDefault="00536034" w:rsidP="00561BB2">
      <w:pPr>
        <w:pStyle w:val="ListParagraph"/>
        <w:numPr>
          <w:ilvl w:val="0"/>
          <w:numId w:val="23"/>
        </w:numPr>
        <w:rPr>
          <w:rFonts w:cstheme="minorHAnsi"/>
          <w:sz w:val="32"/>
          <w:szCs w:val="32"/>
        </w:rPr>
      </w:pPr>
      <w:r w:rsidRPr="00561BB2">
        <w:rPr>
          <w:rFonts w:cstheme="minorHAnsi"/>
          <w:sz w:val="32"/>
          <w:szCs w:val="32"/>
        </w:rPr>
        <w:t>The group convened 4 times during the year</w:t>
      </w:r>
    </w:p>
    <w:p w14:paraId="1587A1BC" w14:textId="0F545E20" w:rsidR="00536034" w:rsidRPr="00110CC1" w:rsidRDefault="00536034" w:rsidP="00536034">
      <w:pPr>
        <w:rPr>
          <w:rFonts w:cstheme="minorHAnsi"/>
          <w:sz w:val="32"/>
          <w:szCs w:val="32"/>
        </w:rPr>
      </w:pPr>
    </w:p>
    <w:p w14:paraId="32ABA746" w14:textId="6B3439CC" w:rsidR="00536034" w:rsidRDefault="00110CC1" w:rsidP="00434500">
      <w:pPr>
        <w:pStyle w:val="Heading1"/>
      </w:pPr>
      <w:r>
        <w:t xml:space="preserve">7b. </w:t>
      </w:r>
      <w:r w:rsidR="00536034" w:rsidRPr="00536034">
        <w:t>Section 11 Self Assessment Audit</w:t>
      </w:r>
    </w:p>
    <w:p w14:paraId="6F091B54" w14:textId="77777777" w:rsidR="00434500" w:rsidRDefault="00434500" w:rsidP="00536034">
      <w:pPr>
        <w:rPr>
          <w:rFonts w:ascii="Arial" w:hAnsi="Arial" w:cs="Arial"/>
        </w:rPr>
      </w:pPr>
    </w:p>
    <w:p w14:paraId="34D00522" w14:textId="630918CB" w:rsidR="00536034" w:rsidRPr="00536034" w:rsidRDefault="00536034" w:rsidP="00536034">
      <w:pPr>
        <w:rPr>
          <w:rFonts w:cstheme="minorHAnsi"/>
          <w:sz w:val="32"/>
          <w:szCs w:val="32"/>
        </w:rPr>
      </w:pPr>
      <w:r w:rsidRPr="00536034">
        <w:rPr>
          <w:rFonts w:cstheme="minorHAnsi"/>
          <w:sz w:val="32"/>
          <w:szCs w:val="32"/>
        </w:rPr>
        <w:t>Future areas of focus:</w:t>
      </w:r>
    </w:p>
    <w:p w14:paraId="2B61AC7D" w14:textId="77777777" w:rsidR="00536034" w:rsidRPr="00536034" w:rsidRDefault="00536034" w:rsidP="00536034">
      <w:pPr>
        <w:rPr>
          <w:rFonts w:cstheme="minorHAnsi"/>
          <w:sz w:val="32"/>
          <w:szCs w:val="32"/>
        </w:rPr>
      </w:pPr>
      <w:r w:rsidRPr="00536034">
        <w:rPr>
          <w:rFonts w:cstheme="minorHAnsi"/>
          <w:sz w:val="32"/>
          <w:szCs w:val="32"/>
        </w:rPr>
        <w:lastRenderedPageBreak/>
        <w:t xml:space="preserve">Challenge events and assurance panels. Two sources of information will be used to identify the challenges for individual agencies. </w:t>
      </w:r>
    </w:p>
    <w:p w14:paraId="5D2307A8" w14:textId="02120B92" w:rsidR="00536034" w:rsidRPr="00561BB2" w:rsidRDefault="00536034" w:rsidP="00561BB2">
      <w:pPr>
        <w:pStyle w:val="ListParagraph"/>
        <w:numPr>
          <w:ilvl w:val="0"/>
          <w:numId w:val="24"/>
        </w:numPr>
        <w:rPr>
          <w:rFonts w:cstheme="minorHAnsi"/>
          <w:sz w:val="32"/>
          <w:szCs w:val="32"/>
        </w:rPr>
      </w:pPr>
      <w:r w:rsidRPr="00561BB2">
        <w:rPr>
          <w:rFonts w:cstheme="minorHAnsi"/>
          <w:sz w:val="32"/>
          <w:szCs w:val="32"/>
        </w:rPr>
        <w:t xml:space="preserve">The information provided within individual agency Section 11 return will be considered and the three key themes where, collectively, partner’s assessments of grades are the lowest will be a focus for questioning. </w:t>
      </w:r>
    </w:p>
    <w:p w14:paraId="26165690" w14:textId="55D0712D" w:rsidR="00561BB2" w:rsidRPr="0025784A" w:rsidRDefault="00536034" w:rsidP="000A6867">
      <w:pPr>
        <w:pStyle w:val="ListParagraph"/>
        <w:numPr>
          <w:ilvl w:val="0"/>
          <w:numId w:val="24"/>
        </w:numPr>
        <w:rPr>
          <w:rFonts w:cstheme="minorHAnsi"/>
          <w:sz w:val="32"/>
          <w:szCs w:val="32"/>
        </w:rPr>
      </w:pPr>
      <w:r w:rsidRPr="0025784A">
        <w:rPr>
          <w:rFonts w:cstheme="minorHAnsi"/>
          <w:sz w:val="32"/>
          <w:szCs w:val="32"/>
        </w:rPr>
        <w:t>Agency progress against CSPR recommendations.</w:t>
      </w:r>
      <w:r w:rsidR="000C150D" w:rsidRPr="000C150D">
        <w:t xml:space="preserve"> </w:t>
      </w:r>
      <w:r w:rsidR="0025784A" w:rsidRPr="0025784A">
        <w:rPr>
          <w:sz w:val="32"/>
          <w:szCs w:val="32"/>
        </w:rPr>
        <w:t>Three CSPRs were finalised during this period and all recommendations were completed and shared with Partners.</w:t>
      </w:r>
    </w:p>
    <w:p w14:paraId="4EE20818" w14:textId="40F22F88" w:rsidR="00536034" w:rsidRPr="00110CC1" w:rsidRDefault="00536034" w:rsidP="00536034">
      <w:pPr>
        <w:rPr>
          <w:rFonts w:cstheme="minorHAnsi"/>
          <w:sz w:val="32"/>
          <w:szCs w:val="32"/>
        </w:rPr>
      </w:pPr>
      <w:r w:rsidRPr="00110CC1">
        <w:rPr>
          <w:rFonts w:cstheme="minorHAnsi"/>
          <w:sz w:val="32"/>
          <w:szCs w:val="32"/>
        </w:rPr>
        <w:t>Any indicators causing concern will be highlighted as will be indicators to celebrate. Where performance is of concern agencies will be required to identify action and report back on progress which will be monitored, and concerns escalated as necessary.</w:t>
      </w:r>
    </w:p>
    <w:p w14:paraId="3DB89D4D" w14:textId="6E776910" w:rsidR="00536034" w:rsidRDefault="00536034" w:rsidP="00536034">
      <w:pPr>
        <w:rPr>
          <w:rFonts w:ascii="Arial" w:hAnsi="Arial" w:cs="Arial"/>
        </w:rPr>
      </w:pPr>
    </w:p>
    <w:p w14:paraId="76067FB3" w14:textId="476B699C" w:rsidR="00536034" w:rsidRDefault="00110CC1" w:rsidP="00434500">
      <w:pPr>
        <w:pStyle w:val="Heading1"/>
      </w:pPr>
      <w:r>
        <w:t xml:space="preserve">7c. </w:t>
      </w:r>
      <w:r w:rsidR="00536034" w:rsidRPr="00536034">
        <w:t>Learning and Development Sub group</w:t>
      </w:r>
    </w:p>
    <w:p w14:paraId="21A56934" w14:textId="77777777" w:rsidR="00561BB2" w:rsidRDefault="00561BB2" w:rsidP="00C454D1">
      <w:pPr>
        <w:rPr>
          <w:rFonts w:cstheme="minorHAnsi"/>
          <w:sz w:val="32"/>
          <w:szCs w:val="32"/>
        </w:rPr>
      </w:pPr>
    </w:p>
    <w:p w14:paraId="0C6A1439" w14:textId="4203AA34" w:rsidR="00C454D1" w:rsidRPr="00C454D1" w:rsidRDefault="00C454D1" w:rsidP="00C454D1">
      <w:pPr>
        <w:rPr>
          <w:rFonts w:cstheme="minorHAnsi"/>
          <w:sz w:val="32"/>
          <w:szCs w:val="32"/>
        </w:rPr>
      </w:pPr>
      <w:r w:rsidRPr="00C454D1">
        <w:rPr>
          <w:rFonts w:cstheme="minorHAnsi"/>
          <w:sz w:val="32"/>
          <w:szCs w:val="32"/>
        </w:rPr>
        <w:t>Influenced the following factors:</w:t>
      </w:r>
    </w:p>
    <w:p w14:paraId="5C9695E3" w14:textId="77777777" w:rsidR="00C454D1" w:rsidRPr="00561BB2" w:rsidRDefault="00C454D1" w:rsidP="00561BB2">
      <w:pPr>
        <w:pStyle w:val="ListParagraph"/>
        <w:numPr>
          <w:ilvl w:val="0"/>
          <w:numId w:val="23"/>
        </w:numPr>
        <w:rPr>
          <w:rFonts w:cstheme="minorHAnsi"/>
          <w:sz w:val="32"/>
          <w:szCs w:val="32"/>
        </w:rPr>
      </w:pPr>
      <w:r w:rsidRPr="00561BB2">
        <w:rPr>
          <w:rFonts w:cstheme="minorHAnsi"/>
          <w:sz w:val="32"/>
          <w:szCs w:val="32"/>
        </w:rPr>
        <w:t>Offer for virtual core training reviewed and continued and included Working Together to Safeguard Children, Working Together to Safeguard Children refresher, Making positive Contribution to Child Protection Conferences and Core Groups, Introduction to Child Neglect, Harmful Sexual Behaviour, Improving Assessments in Child Safeguarding.</w:t>
      </w:r>
    </w:p>
    <w:p w14:paraId="6122EB17" w14:textId="77777777" w:rsidR="00561BB2" w:rsidRDefault="00561BB2" w:rsidP="00C454D1">
      <w:pPr>
        <w:rPr>
          <w:rFonts w:cstheme="minorHAnsi"/>
          <w:sz w:val="32"/>
          <w:szCs w:val="32"/>
        </w:rPr>
      </w:pPr>
    </w:p>
    <w:p w14:paraId="12EF9CF4" w14:textId="61C1C156" w:rsidR="00536034" w:rsidRPr="00561BB2" w:rsidRDefault="00C454D1" w:rsidP="00561BB2">
      <w:pPr>
        <w:pStyle w:val="ListParagraph"/>
        <w:numPr>
          <w:ilvl w:val="0"/>
          <w:numId w:val="23"/>
        </w:numPr>
        <w:rPr>
          <w:rFonts w:cstheme="minorHAnsi"/>
          <w:sz w:val="32"/>
          <w:szCs w:val="32"/>
        </w:rPr>
      </w:pPr>
      <w:r w:rsidRPr="00561BB2">
        <w:rPr>
          <w:rFonts w:cstheme="minorHAnsi"/>
          <w:sz w:val="32"/>
          <w:szCs w:val="32"/>
        </w:rPr>
        <w:t>Bitesize presentations and guidance developed for:</w:t>
      </w:r>
    </w:p>
    <w:p w14:paraId="12622191" w14:textId="674BAF59"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HSB – one minute guide</w:t>
      </w:r>
    </w:p>
    <w:p w14:paraId="5D92D527" w14:textId="59F15E17"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Professional curiosity – briefing guide</w:t>
      </w:r>
    </w:p>
    <w:p w14:paraId="1BB37B6A" w14:textId="2E42F503"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Look closer programme of learning</w:t>
      </w:r>
    </w:p>
    <w:p w14:paraId="59BE3C05" w14:textId="435C4E59"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Independent child trafficking guardians service</w:t>
      </w:r>
    </w:p>
    <w:p w14:paraId="47368F76" w14:textId="40A25849"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FGM 7 minute briefing</w:t>
      </w:r>
    </w:p>
    <w:p w14:paraId="2F21C907" w14:textId="508D159F"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Guide to parental responsibility</w:t>
      </w:r>
    </w:p>
    <w:p w14:paraId="4F835FD5" w14:textId="2F526965"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Was not brought – 7 minute briefing</w:t>
      </w:r>
    </w:p>
    <w:p w14:paraId="07A2085C" w14:textId="6CEB5C35"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Channel Kirklees – 7 minute briefing</w:t>
      </w:r>
    </w:p>
    <w:p w14:paraId="1C3D4D80" w14:textId="4F26A4FA"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Domestic abuse – 7 minute briefing</w:t>
      </w:r>
    </w:p>
    <w:p w14:paraId="1893F273" w14:textId="666E21DA"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t>LD and parental capacity – 7 minute briefing</w:t>
      </w:r>
    </w:p>
    <w:p w14:paraId="2A15955E" w14:textId="45C926C6" w:rsidR="00C454D1" w:rsidRPr="00561BB2" w:rsidRDefault="00C454D1" w:rsidP="00561BB2">
      <w:pPr>
        <w:pStyle w:val="ListParagraph"/>
        <w:numPr>
          <w:ilvl w:val="0"/>
          <w:numId w:val="34"/>
        </w:numPr>
        <w:rPr>
          <w:rFonts w:cstheme="minorHAnsi"/>
          <w:sz w:val="32"/>
          <w:szCs w:val="32"/>
        </w:rPr>
      </w:pPr>
      <w:r w:rsidRPr="00561BB2">
        <w:rPr>
          <w:rFonts w:cstheme="minorHAnsi"/>
          <w:sz w:val="32"/>
          <w:szCs w:val="32"/>
        </w:rPr>
        <w:lastRenderedPageBreak/>
        <w:t>Eating disorders – 7 minute briefing</w:t>
      </w:r>
    </w:p>
    <w:p w14:paraId="27FAB68A" w14:textId="5892DC09" w:rsidR="00536034" w:rsidRPr="00561BB2" w:rsidRDefault="00C454D1" w:rsidP="00561BB2">
      <w:pPr>
        <w:pStyle w:val="ListParagraph"/>
        <w:numPr>
          <w:ilvl w:val="0"/>
          <w:numId w:val="34"/>
        </w:numPr>
        <w:rPr>
          <w:rFonts w:cstheme="minorHAnsi"/>
          <w:sz w:val="32"/>
          <w:szCs w:val="32"/>
        </w:rPr>
      </w:pPr>
      <w:r w:rsidRPr="00561BB2">
        <w:rPr>
          <w:rFonts w:cstheme="minorHAnsi"/>
          <w:sz w:val="32"/>
          <w:szCs w:val="32"/>
        </w:rPr>
        <w:t>ICON – 7 minute briefing</w:t>
      </w:r>
    </w:p>
    <w:p w14:paraId="15102122" w14:textId="26D3E35B" w:rsidR="00C454D1" w:rsidRPr="00110CC1" w:rsidRDefault="00C454D1" w:rsidP="00536034">
      <w:pPr>
        <w:rPr>
          <w:rFonts w:cstheme="minorHAnsi"/>
          <w:sz w:val="32"/>
          <w:szCs w:val="32"/>
        </w:rPr>
      </w:pPr>
    </w:p>
    <w:p w14:paraId="0496D95C" w14:textId="77777777" w:rsidR="00C454D1" w:rsidRPr="00C454D1" w:rsidRDefault="00C454D1" w:rsidP="00C454D1">
      <w:pPr>
        <w:rPr>
          <w:rFonts w:cstheme="minorHAnsi"/>
          <w:sz w:val="32"/>
          <w:szCs w:val="32"/>
        </w:rPr>
      </w:pPr>
      <w:r w:rsidRPr="00C454D1">
        <w:rPr>
          <w:rFonts w:cstheme="minorHAnsi"/>
          <w:sz w:val="32"/>
          <w:szCs w:val="32"/>
        </w:rPr>
        <w:t xml:space="preserve">Future work planned for 2022 – 2023: </w:t>
      </w:r>
    </w:p>
    <w:p w14:paraId="2A1D5280" w14:textId="77777777" w:rsidR="00C454D1" w:rsidRPr="00561BB2" w:rsidRDefault="00C454D1" w:rsidP="00561BB2">
      <w:pPr>
        <w:pStyle w:val="ListParagraph"/>
        <w:numPr>
          <w:ilvl w:val="0"/>
          <w:numId w:val="23"/>
        </w:numPr>
        <w:rPr>
          <w:rFonts w:cstheme="minorHAnsi"/>
          <w:sz w:val="32"/>
          <w:szCs w:val="32"/>
        </w:rPr>
      </w:pPr>
      <w:r w:rsidRPr="00561BB2">
        <w:rPr>
          <w:rFonts w:cstheme="minorHAnsi"/>
          <w:sz w:val="32"/>
          <w:szCs w:val="32"/>
        </w:rPr>
        <w:t>Consideration now being given to a hybrid form of training with a mixture of face to face training along with virtual training.</w:t>
      </w:r>
    </w:p>
    <w:p w14:paraId="41F2B531" w14:textId="77777777" w:rsidR="00C454D1" w:rsidRPr="00C454D1" w:rsidRDefault="00C454D1" w:rsidP="00C454D1">
      <w:pPr>
        <w:rPr>
          <w:rFonts w:cstheme="minorHAnsi"/>
          <w:sz w:val="32"/>
          <w:szCs w:val="32"/>
        </w:rPr>
      </w:pPr>
    </w:p>
    <w:p w14:paraId="171DF797" w14:textId="77777777" w:rsidR="00C454D1" w:rsidRPr="00C454D1" w:rsidRDefault="00C454D1" w:rsidP="00C454D1">
      <w:pPr>
        <w:rPr>
          <w:rFonts w:cstheme="minorHAnsi"/>
          <w:sz w:val="32"/>
          <w:szCs w:val="32"/>
        </w:rPr>
      </w:pPr>
      <w:r w:rsidRPr="00C454D1">
        <w:rPr>
          <w:rFonts w:cstheme="minorHAnsi"/>
          <w:sz w:val="32"/>
          <w:szCs w:val="32"/>
        </w:rPr>
        <w:t>Key Factor:</w:t>
      </w:r>
    </w:p>
    <w:p w14:paraId="29C5D0E8" w14:textId="13A1ABF2" w:rsidR="00C454D1" w:rsidRPr="00561BB2" w:rsidRDefault="00C454D1" w:rsidP="00561BB2">
      <w:pPr>
        <w:pStyle w:val="ListParagraph"/>
        <w:numPr>
          <w:ilvl w:val="0"/>
          <w:numId w:val="23"/>
        </w:numPr>
        <w:rPr>
          <w:rFonts w:cstheme="minorHAnsi"/>
          <w:sz w:val="32"/>
          <w:szCs w:val="32"/>
        </w:rPr>
      </w:pPr>
      <w:r w:rsidRPr="00561BB2">
        <w:rPr>
          <w:rFonts w:cstheme="minorHAnsi"/>
          <w:sz w:val="32"/>
          <w:szCs w:val="32"/>
        </w:rPr>
        <w:t>This group convened 5 times</w:t>
      </w:r>
    </w:p>
    <w:p w14:paraId="3C4E2D8B" w14:textId="1E36040A" w:rsidR="00561BB2" w:rsidRDefault="00561BB2" w:rsidP="00C454D1">
      <w:pPr>
        <w:rPr>
          <w:rFonts w:cstheme="minorHAnsi"/>
          <w:sz w:val="32"/>
          <w:szCs w:val="32"/>
        </w:rPr>
      </w:pPr>
    </w:p>
    <w:p w14:paraId="1945C59B" w14:textId="77777777" w:rsidR="00561BB2" w:rsidRPr="00110CC1" w:rsidRDefault="00561BB2" w:rsidP="00C454D1">
      <w:pPr>
        <w:rPr>
          <w:rFonts w:cstheme="minorHAnsi"/>
          <w:sz w:val="32"/>
          <w:szCs w:val="32"/>
        </w:rPr>
      </w:pPr>
    </w:p>
    <w:p w14:paraId="659AA66F" w14:textId="78EFDB2B" w:rsidR="00C454D1" w:rsidRDefault="00C454D1" w:rsidP="00C454D1">
      <w:pPr>
        <w:rPr>
          <w:rFonts w:ascii="Arial" w:hAnsi="Arial" w:cs="Arial"/>
        </w:rPr>
      </w:pPr>
    </w:p>
    <w:p w14:paraId="24B80193" w14:textId="3708973B" w:rsidR="00C454D1" w:rsidRDefault="00110CC1" w:rsidP="00434500">
      <w:pPr>
        <w:pStyle w:val="Heading1"/>
      </w:pPr>
      <w:r>
        <w:t xml:space="preserve">7d. </w:t>
      </w:r>
      <w:r w:rsidR="00C454D1" w:rsidRPr="00C454D1">
        <w:t>Child Safeguarding Practice Review (CSPR) Sub group</w:t>
      </w:r>
    </w:p>
    <w:p w14:paraId="53D79940" w14:textId="111F14B4" w:rsidR="00C454D1" w:rsidRDefault="00C454D1" w:rsidP="00C454D1">
      <w:pPr>
        <w:rPr>
          <w:rFonts w:ascii="Arial" w:hAnsi="Arial" w:cs="Arial"/>
          <w:b/>
          <w:bCs/>
        </w:rPr>
      </w:pPr>
    </w:p>
    <w:p w14:paraId="6FD4DF76" w14:textId="77777777" w:rsidR="00C454D1" w:rsidRPr="00C454D1" w:rsidRDefault="00C454D1" w:rsidP="00C454D1">
      <w:pPr>
        <w:rPr>
          <w:rFonts w:cstheme="minorHAnsi"/>
          <w:sz w:val="32"/>
          <w:szCs w:val="32"/>
        </w:rPr>
      </w:pPr>
      <w:r w:rsidRPr="00C454D1">
        <w:rPr>
          <w:rFonts w:cstheme="minorHAnsi"/>
          <w:sz w:val="32"/>
          <w:szCs w:val="32"/>
        </w:rPr>
        <w:t>Influenced the following factors:</w:t>
      </w:r>
    </w:p>
    <w:p w14:paraId="548DB404" w14:textId="77777777" w:rsidR="00C454D1" w:rsidRPr="00561BB2" w:rsidRDefault="00C454D1" w:rsidP="00561BB2">
      <w:pPr>
        <w:pStyle w:val="ListParagraph"/>
        <w:numPr>
          <w:ilvl w:val="0"/>
          <w:numId w:val="26"/>
        </w:numPr>
        <w:rPr>
          <w:rFonts w:cstheme="minorHAnsi"/>
          <w:sz w:val="32"/>
          <w:szCs w:val="32"/>
        </w:rPr>
      </w:pPr>
      <w:r w:rsidRPr="00561BB2">
        <w:rPr>
          <w:rFonts w:cstheme="minorHAnsi"/>
          <w:sz w:val="32"/>
          <w:szCs w:val="32"/>
        </w:rPr>
        <w:t>Development of a Matrix to capture case details, activity, status of cases, audit trail of SIN, Rapid Review and National Panel communications, the oversight of local themes and the 6 nationally identified themes</w:t>
      </w:r>
    </w:p>
    <w:p w14:paraId="5B3FEAEC" w14:textId="7BBD781D" w:rsidR="00C454D1" w:rsidRPr="00561BB2" w:rsidRDefault="00C454D1" w:rsidP="00561BB2">
      <w:pPr>
        <w:pStyle w:val="ListParagraph"/>
        <w:numPr>
          <w:ilvl w:val="0"/>
          <w:numId w:val="26"/>
        </w:numPr>
        <w:rPr>
          <w:rFonts w:cstheme="minorHAnsi"/>
          <w:sz w:val="32"/>
          <w:szCs w:val="32"/>
        </w:rPr>
      </w:pPr>
      <w:r w:rsidRPr="00561BB2">
        <w:rPr>
          <w:rFonts w:cstheme="minorHAnsi"/>
          <w:sz w:val="32"/>
          <w:szCs w:val="32"/>
        </w:rPr>
        <w:t>Additional training delivered for improving assessments in child safeguarding</w:t>
      </w:r>
      <w:r w:rsidR="00110CC1" w:rsidRPr="00561BB2">
        <w:rPr>
          <w:rFonts w:cstheme="minorHAnsi"/>
          <w:sz w:val="32"/>
          <w:szCs w:val="32"/>
        </w:rPr>
        <w:t>.</w:t>
      </w:r>
      <w:r w:rsidRPr="00561BB2">
        <w:rPr>
          <w:rFonts w:cstheme="minorHAnsi"/>
          <w:sz w:val="32"/>
          <w:szCs w:val="32"/>
        </w:rPr>
        <w:t xml:space="preserve"> </w:t>
      </w:r>
    </w:p>
    <w:p w14:paraId="3E244809" w14:textId="77777777" w:rsidR="00C454D1" w:rsidRPr="00561BB2" w:rsidRDefault="00C454D1" w:rsidP="00561BB2">
      <w:pPr>
        <w:pStyle w:val="ListParagraph"/>
        <w:numPr>
          <w:ilvl w:val="0"/>
          <w:numId w:val="26"/>
        </w:numPr>
        <w:rPr>
          <w:rFonts w:cstheme="minorHAnsi"/>
          <w:sz w:val="32"/>
          <w:szCs w:val="32"/>
        </w:rPr>
      </w:pPr>
      <w:r w:rsidRPr="00561BB2">
        <w:rPr>
          <w:rFonts w:cstheme="minorHAnsi"/>
          <w:sz w:val="32"/>
          <w:szCs w:val="32"/>
        </w:rPr>
        <w:t xml:space="preserve">Recognition for future audit activity </w:t>
      </w:r>
    </w:p>
    <w:p w14:paraId="10EC551E" w14:textId="77777777" w:rsidR="00C454D1" w:rsidRPr="00561BB2" w:rsidRDefault="00C454D1" w:rsidP="00561BB2">
      <w:pPr>
        <w:pStyle w:val="ListParagraph"/>
        <w:numPr>
          <w:ilvl w:val="0"/>
          <w:numId w:val="26"/>
        </w:numPr>
        <w:rPr>
          <w:rFonts w:cstheme="minorHAnsi"/>
          <w:sz w:val="32"/>
          <w:szCs w:val="32"/>
        </w:rPr>
      </w:pPr>
      <w:r w:rsidRPr="00561BB2">
        <w:rPr>
          <w:rFonts w:cstheme="minorHAnsi"/>
          <w:sz w:val="32"/>
          <w:szCs w:val="32"/>
        </w:rPr>
        <w:t>Recognise the importance of establishing stronger links to Safeguarding Effectiveness and Learning Development group</w:t>
      </w:r>
    </w:p>
    <w:p w14:paraId="558A1D30" w14:textId="77777777" w:rsidR="00C454D1" w:rsidRPr="00C454D1" w:rsidRDefault="00C454D1" w:rsidP="00C454D1">
      <w:pPr>
        <w:rPr>
          <w:rFonts w:cstheme="minorHAnsi"/>
          <w:sz w:val="32"/>
          <w:szCs w:val="32"/>
        </w:rPr>
      </w:pPr>
    </w:p>
    <w:p w14:paraId="2E8EAA9B" w14:textId="77777777" w:rsidR="00C454D1" w:rsidRPr="00C454D1" w:rsidRDefault="00C454D1" w:rsidP="00C454D1">
      <w:pPr>
        <w:rPr>
          <w:rFonts w:cstheme="minorHAnsi"/>
          <w:sz w:val="32"/>
          <w:szCs w:val="32"/>
        </w:rPr>
      </w:pPr>
      <w:r w:rsidRPr="00C454D1">
        <w:rPr>
          <w:rFonts w:cstheme="minorHAnsi"/>
          <w:sz w:val="32"/>
          <w:szCs w:val="32"/>
        </w:rPr>
        <w:t>Future work planned for 2022 – 2023:</w:t>
      </w:r>
    </w:p>
    <w:p w14:paraId="3233D2ED" w14:textId="77777777" w:rsidR="00C454D1" w:rsidRPr="00561BB2" w:rsidRDefault="00C454D1" w:rsidP="00561BB2">
      <w:pPr>
        <w:pStyle w:val="ListParagraph"/>
        <w:numPr>
          <w:ilvl w:val="0"/>
          <w:numId w:val="27"/>
        </w:numPr>
        <w:rPr>
          <w:rFonts w:cstheme="minorHAnsi"/>
          <w:sz w:val="32"/>
          <w:szCs w:val="32"/>
        </w:rPr>
      </w:pPr>
      <w:r w:rsidRPr="00561BB2">
        <w:rPr>
          <w:rFonts w:cstheme="minorHAnsi"/>
          <w:sz w:val="32"/>
          <w:szCs w:val="32"/>
        </w:rPr>
        <w:t>Continued use of the electronic eCase Review system</w:t>
      </w:r>
    </w:p>
    <w:p w14:paraId="092FA70B" w14:textId="77777777" w:rsidR="00C454D1" w:rsidRPr="00561BB2" w:rsidRDefault="00C454D1" w:rsidP="00561BB2">
      <w:pPr>
        <w:pStyle w:val="ListParagraph"/>
        <w:numPr>
          <w:ilvl w:val="0"/>
          <w:numId w:val="27"/>
        </w:numPr>
        <w:rPr>
          <w:rFonts w:cstheme="minorHAnsi"/>
          <w:sz w:val="32"/>
          <w:szCs w:val="32"/>
        </w:rPr>
      </w:pPr>
      <w:r w:rsidRPr="00561BB2">
        <w:rPr>
          <w:rFonts w:cstheme="minorHAnsi"/>
          <w:sz w:val="32"/>
          <w:szCs w:val="32"/>
        </w:rPr>
        <w:t>To streamline and use the improved Serious Incident process and Rapid Review Process</w:t>
      </w:r>
    </w:p>
    <w:p w14:paraId="0427F56A" w14:textId="77777777" w:rsidR="00C454D1" w:rsidRPr="00561BB2" w:rsidRDefault="00C454D1" w:rsidP="00561BB2">
      <w:pPr>
        <w:pStyle w:val="ListParagraph"/>
        <w:numPr>
          <w:ilvl w:val="0"/>
          <w:numId w:val="27"/>
        </w:numPr>
        <w:rPr>
          <w:rFonts w:cstheme="minorHAnsi"/>
          <w:sz w:val="32"/>
          <w:szCs w:val="32"/>
        </w:rPr>
      </w:pPr>
      <w:r w:rsidRPr="00561BB2">
        <w:rPr>
          <w:rFonts w:cstheme="minorHAnsi"/>
          <w:sz w:val="32"/>
          <w:szCs w:val="32"/>
        </w:rPr>
        <w:t>Use of themes identified from National cases to shape the work being undertaken</w:t>
      </w:r>
    </w:p>
    <w:p w14:paraId="0BFEA1A0" w14:textId="77777777" w:rsidR="00C454D1" w:rsidRPr="00C454D1" w:rsidRDefault="00C454D1" w:rsidP="00C454D1">
      <w:pPr>
        <w:rPr>
          <w:rFonts w:cstheme="minorHAnsi"/>
          <w:b/>
          <w:bCs/>
          <w:sz w:val="32"/>
          <w:szCs w:val="32"/>
        </w:rPr>
      </w:pPr>
    </w:p>
    <w:p w14:paraId="428B40DB" w14:textId="77777777" w:rsidR="00C454D1" w:rsidRPr="00C454D1" w:rsidRDefault="00C454D1" w:rsidP="00C454D1">
      <w:pPr>
        <w:rPr>
          <w:rFonts w:cstheme="minorHAnsi"/>
          <w:sz w:val="32"/>
          <w:szCs w:val="32"/>
        </w:rPr>
      </w:pPr>
      <w:r w:rsidRPr="00C454D1">
        <w:rPr>
          <w:rFonts w:cstheme="minorHAnsi"/>
          <w:sz w:val="32"/>
          <w:szCs w:val="32"/>
        </w:rPr>
        <w:t>Key factors:</w:t>
      </w:r>
    </w:p>
    <w:p w14:paraId="7069F8CE" w14:textId="639A76FF" w:rsidR="00C454D1" w:rsidRPr="00561BB2" w:rsidRDefault="00C454D1" w:rsidP="00561BB2">
      <w:pPr>
        <w:pStyle w:val="ListParagraph"/>
        <w:numPr>
          <w:ilvl w:val="0"/>
          <w:numId w:val="35"/>
        </w:numPr>
        <w:rPr>
          <w:rFonts w:cstheme="minorHAnsi"/>
          <w:sz w:val="32"/>
          <w:szCs w:val="32"/>
        </w:rPr>
      </w:pPr>
      <w:r w:rsidRPr="00561BB2">
        <w:rPr>
          <w:rFonts w:cstheme="minorHAnsi"/>
          <w:sz w:val="32"/>
          <w:szCs w:val="32"/>
        </w:rPr>
        <w:t>The group convened 5 times.</w:t>
      </w:r>
    </w:p>
    <w:p w14:paraId="37D3F2D3" w14:textId="5917487D" w:rsidR="00C454D1" w:rsidRPr="00110CC1" w:rsidRDefault="00C454D1" w:rsidP="00C454D1">
      <w:pPr>
        <w:rPr>
          <w:rFonts w:cstheme="minorHAnsi"/>
          <w:sz w:val="32"/>
          <w:szCs w:val="32"/>
        </w:rPr>
      </w:pPr>
    </w:p>
    <w:p w14:paraId="6D44DA52" w14:textId="7E0F6DBD" w:rsidR="00C454D1" w:rsidRPr="00110CC1" w:rsidRDefault="00C454D1" w:rsidP="00C454D1">
      <w:pPr>
        <w:rPr>
          <w:rFonts w:cstheme="minorHAnsi"/>
          <w:sz w:val="32"/>
          <w:szCs w:val="32"/>
        </w:rPr>
      </w:pPr>
      <w:r w:rsidRPr="00110CC1">
        <w:rPr>
          <w:rFonts w:cstheme="minorHAnsi"/>
          <w:sz w:val="32"/>
          <w:szCs w:val="32"/>
        </w:rPr>
        <w:lastRenderedPageBreak/>
        <w:t>Number of Serious Incidents notified to the KSCP Business Unit – 6</w:t>
      </w:r>
    </w:p>
    <w:p w14:paraId="0AF35317" w14:textId="0100E689" w:rsidR="00C454D1" w:rsidRPr="00110CC1" w:rsidRDefault="00C454D1" w:rsidP="00C454D1">
      <w:pPr>
        <w:rPr>
          <w:rFonts w:cstheme="minorHAnsi"/>
          <w:sz w:val="32"/>
          <w:szCs w:val="32"/>
        </w:rPr>
      </w:pPr>
      <w:r w:rsidRPr="00110CC1">
        <w:rPr>
          <w:rFonts w:cstheme="minorHAnsi"/>
          <w:sz w:val="32"/>
          <w:szCs w:val="32"/>
        </w:rPr>
        <w:t>Number of serious incidents progressed by the Local Authority to National Panel – 5</w:t>
      </w:r>
    </w:p>
    <w:p w14:paraId="74BB829F" w14:textId="5C25885D" w:rsidR="00C454D1" w:rsidRPr="00110CC1" w:rsidRDefault="00C454D1" w:rsidP="00C454D1">
      <w:pPr>
        <w:rPr>
          <w:rFonts w:cstheme="minorHAnsi"/>
          <w:sz w:val="32"/>
          <w:szCs w:val="32"/>
        </w:rPr>
      </w:pPr>
      <w:r w:rsidRPr="00110CC1">
        <w:rPr>
          <w:rFonts w:cstheme="minorHAnsi"/>
          <w:sz w:val="32"/>
          <w:szCs w:val="32"/>
        </w:rPr>
        <w:t>Number of Rapid Reviews undertaken – 5</w:t>
      </w:r>
    </w:p>
    <w:p w14:paraId="61332C5D" w14:textId="1D72A41D" w:rsidR="00C454D1" w:rsidRPr="00110CC1" w:rsidRDefault="00C454D1" w:rsidP="00C454D1">
      <w:pPr>
        <w:rPr>
          <w:rFonts w:cstheme="minorHAnsi"/>
          <w:sz w:val="32"/>
          <w:szCs w:val="32"/>
        </w:rPr>
      </w:pPr>
      <w:r w:rsidRPr="00110CC1">
        <w:rPr>
          <w:rFonts w:cstheme="minorHAnsi"/>
          <w:sz w:val="32"/>
          <w:szCs w:val="32"/>
        </w:rPr>
        <w:t>Number of local safeguarding practice reviews undertaken – 1</w:t>
      </w:r>
    </w:p>
    <w:p w14:paraId="27AC7AEB" w14:textId="7FB1480F" w:rsidR="00C454D1" w:rsidRPr="00110CC1" w:rsidRDefault="00C454D1" w:rsidP="00C454D1">
      <w:pPr>
        <w:rPr>
          <w:rFonts w:cstheme="minorHAnsi"/>
          <w:sz w:val="32"/>
          <w:szCs w:val="32"/>
        </w:rPr>
      </w:pPr>
      <w:r w:rsidRPr="00110CC1">
        <w:rPr>
          <w:rFonts w:cstheme="minorHAnsi"/>
          <w:sz w:val="32"/>
          <w:szCs w:val="32"/>
        </w:rPr>
        <w:t>Number of local learning reviews – 0</w:t>
      </w:r>
    </w:p>
    <w:p w14:paraId="437D97EB" w14:textId="4F265C90" w:rsidR="00C454D1" w:rsidRPr="00110CC1" w:rsidRDefault="00C454D1" w:rsidP="00C454D1">
      <w:pPr>
        <w:rPr>
          <w:rFonts w:cstheme="minorHAnsi"/>
          <w:sz w:val="32"/>
          <w:szCs w:val="32"/>
        </w:rPr>
      </w:pPr>
    </w:p>
    <w:p w14:paraId="2B71EDBB" w14:textId="77777777" w:rsidR="00C454D1" w:rsidRPr="00C454D1" w:rsidRDefault="00C454D1" w:rsidP="00C454D1">
      <w:pPr>
        <w:rPr>
          <w:rFonts w:cstheme="minorHAnsi"/>
          <w:sz w:val="32"/>
          <w:szCs w:val="32"/>
        </w:rPr>
      </w:pPr>
      <w:r w:rsidRPr="00C454D1">
        <w:rPr>
          <w:rFonts w:cstheme="minorHAnsi"/>
          <w:sz w:val="32"/>
          <w:szCs w:val="32"/>
        </w:rPr>
        <w:t>Analysis of the above data: Of the six SIN`s notified to the Business Unit, one case did not the meet the criteria for a SPR or for further learning. From the remaining five cases one case has been taken forward as a SPR and of the remaining cases, local learning was identified as an opportunity to explore learning, produce a report, undertake an audit and identify recommendations for agencies across the wider partnership.</w:t>
      </w:r>
    </w:p>
    <w:p w14:paraId="4CB9D9FA" w14:textId="77777777" w:rsidR="00C454D1" w:rsidRPr="00C454D1" w:rsidRDefault="00C454D1" w:rsidP="00C454D1">
      <w:pPr>
        <w:rPr>
          <w:rFonts w:cstheme="minorHAnsi"/>
          <w:sz w:val="32"/>
          <w:szCs w:val="32"/>
        </w:rPr>
      </w:pPr>
      <w:r w:rsidRPr="00C454D1">
        <w:rPr>
          <w:rFonts w:cstheme="minorHAnsi"/>
          <w:sz w:val="32"/>
          <w:szCs w:val="32"/>
        </w:rPr>
        <w:t> </w:t>
      </w:r>
    </w:p>
    <w:p w14:paraId="7D639B31" w14:textId="77777777" w:rsidR="00561BB2" w:rsidRDefault="00C454D1" w:rsidP="00C454D1">
      <w:pPr>
        <w:rPr>
          <w:rFonts w:cstheme="minorHAnsi"/>
          <w:sz w:val="32"/>
          <w:szCs w:val="32"/>
        </w:rPr>
      </w:pPr>
      <w:r w:rsidRPr="00C454D1">
        <w:rPr>
          <w:rFonts w:cstheme="minorHAnsi"/>
          <w:sz w:val="32"/>
          <w:szCs w:val="32"/>
        </w:rPr>
        <w:t xml:space="preserve">Future areas of focus: </w:t>
      </w:r>
    </w:p>
    <w:p w14:paraId="16C8D2D6" w14:textId="77777777" w:rsidR="00561BB2" w:rsidRPr="00561BB2" w:rsidRDefault="00C454D1" w:rsidP="00561BB2">
      <w:pPr>
        <w:pStyle w:val="ListParagraph"/>
        <w:numPr>
          <w:ilvl w:val="0"/>
          <w:numId w:val="33"/>
        </w:numPr>
        <w:rPr>
          <w:rFonts w:cstheme="minorHAnsi"/>
          <w:sz w:val="32"/>
          <w:szCs w:val="32"/>
        </w:rPr>
      </w:pPr>
      <w:r w:rsidRPr="00561BB2">
        <w:rPr>
          <w:rFonts w:cstheme="minorHAnsi"/>
          <w:sz w:val="32"/>
          <w:szCs w:val="32"/>
        </w:rPr>
        <w:t xml:space="preserve">A review of the CSPR processes has been undertaken to ensure timescales are managed. </w:t>
      </w:r>
    </w:p>
    <w:p w14:paraId="765311BC" w14:textId="77777777" w:rsidR="00561BB2" w:rsidRPr="00561BB2" w:rsidRDefault="00C454D1" w:rsidP="00561BB2">
      <w:pPr>
        <w:pStyle w:val="ListParagraph"/>
        <w:numPr>
          <w:ilvl w:val="0"/>
          <w:numId w:val="33"/>
        </w:numPr>
        <w:rPr>
          <w:rFonts w:cstheme="minorHAnsi"/>
          <w:sz w:val="32"/>
          <w:szCs w:val="32"/>
        </w:rPr>
      </w:pPr>
      <w:r w:rsidRPr="00561BB2">
        <w:rPr>
          <w:rFonts w:cstheme="minorHAnsi"/>
          <w:sz w:val="32"/>
          <w:szCs w:val="32"/>
        </w:rPr>
        <w:t xml:space="preserve">The wider impact of chaotic families where unsafe sleeping arrangements are in place. </w:t>
      </w:r>
    </w:p>
    <w:p w14:paraId="7D62AC43" w14:textId="77777777" w:rsidR="00561BB2" w:rsidRPr="00561BB2" w:rsidRDefault="00C454D1" w:rsidP="00561BB2">
      <w:pPr>
        <w:pStyle w:val="ListParagraph"/>
        <w:numPr>
          <w:ilvl w:val="0"/>
          <w:numId w:val="33"/>
        </w:numPr>
        <w:rPr>
          <w:rFonts w:cstheme="minorHAnsi"/>
          <w:sz w:val="32"/>
          <w:szCs w:val="32"/>
        </w:rPr>
      </w:pPr>
      <w:r w:rsidRPr="00561BB2">
        <w:rPr>
          <w:rFonts w:cstheme="minorHAnsi"/>
          <w:sz w:val="32"/>
          <w:szCs w:val="32"/>
        </w:rPr>
        <w:t xml:space="preserve">An audit was instigated to cover neglect and this is being led by Early Support. </w:t>
      </w:r>
    </w:p>
    <w:p w14:paraId="10EC2AC2" w14:textId="6BDC4C29" w:rsidR="00C454D1" w:rsidRPr="00561BB2" w:rsidRDefault="00C454D1" w:rsidP="00561BB2">
      <w:pPr>
        <w:pStyle w:val="ListParagraph"/>
        <w:numPr>
          <w:ilvl w:val="0"/>
          <w:numId w:val="33"/>
        </w:numPr>
        <w:rPr>
          <w:rFonts w:cstheme="minorHAnsi"/>
          <w:sz w:val="32"/>
          <w:szCs w:val="32"/>
        </w:rPr>
      </w:pPr>
      <w:r w:rsidRPr="00561BB2">
        <w:rPr>
          <w:rFonts w:cstheme="minorHAnsi"/>
          <w:sz w:val="32"/>
          <w:szCs w:val="32"/>
        </w:rPr>
        <w:t>A training session was scheduled in safeguarding week to look at forced marriage and honour based abuse.</w:t>
      </w:r>
    </w:p>
    <w:p w14:paraId="4F310D46" w14:textId="77777777" w:rsidR="00C454D1" w:rsidRPr="00C454D1" w:rsidRDefault="00C454D1" w:rsidP="00C454D1">
      <w:pPr>
        <w:rPr>
          <w:rFonts w:ascii="Arial" w:hAnsi="Arial" w:cs="Arial"/>
        </w:rPr>
      </w:pPr>
      <w:r w:rsidRPr="00C454D1">
        <w:rPr>
          <w:rFonts w:ascii="Arial" w:hAnsi="Arial" w:cs="Arial"/>
        </w:rPr>
        <w:t> </w:t>
      </w:r>
    </w:p>
    <w:p w14:paraId="0DB9D68F" w14:textId="54D10563" w:rsidR="00C454D1" w:rsidRDefault="00110CC1" w:rsidP="00434500">
      <w:pPr>
        <w:pStyle w:val="Heading1"/>
      </w:pPr>
      <w:r>
        <w:t xml:space="preserve">7e. </w:t>
      </w:r>
      <w:r w:rsidR="00C454D1" w:rsidRPr="00C454D1">
        <w:t>Child Death Overview Panel</w:t>
      </w:r>
    </w:p>
    <w:p w14:paraId="79CCD544" w14:textId="421E8E02" w:rsidR="00C454D1" w:rsidRDefault="00C454D1" w:rsidP="00C454D1">
      <w:pPr>
        <w:rPr>
          <w:rFonts w:ascii="Arial" w:hAnsi="Arial" w:cs="Arial"/>
          <w:b/>
          <w:bCs/>
        </w:rPr>
      </w:pPr>
    </w:p>
    <w:p w14:paraId="48ADD3B3" w14:textId="36D3B00C" w:rsidR="00C454D1" w:rsidRPr="00C454D1" w:rsidRDefault="00C454D1" w:rsidP="00C454D1">
      <w:pPr>
        <w:rPr>
          <w:rFonts w:ascii="Calibri" w:hAnsi="Calibri" w:cs="Calibri"/>
          <w:sz w:val="32"/>
          <w:szCs w:val="32"/>
        </w:rPr>
      </w:pPr>
      <w:r w:rsidRPr="00C454D1">
        <w:rPr>
          <w:rFonts w:ascii="Calibri" w:hAnsi="Calibri" w:cs="Calibri"/>
          <w:sz w:val="32"/>
          <w:szCs w:val="32"/>
        </w:rPr>
        <w:t>Our Child Death Overview Panel (CDOP) works across two health footprints which include the Mid Yorkshire Hospital Trust and the Calderdale and Huddersfield Foundation Trust.</w:t>
      </w:r>
    </w:p>
    <w:p w14:paraId="4F9F5930" w14:textId="77777777" w:rsidR="00C454D1" w:rsidRPr="00C454D1" w:rsidRDefault="00C454D1" w:rsidP="00C454D1">
      <w:pPr>
        <w:rPr>
          <w:rFonts w:ascii="Calibri" w:hAnsi="Calibri" w:cs="Calibri"/>
          <w:sz w:val="32"/>
          <w:szCs w:val="32"/>
        </w:rPr>
      </w:pPr>
      <w:r w:rsidRPr="00C454D1">
        <w:rPr>
          <w:rFonts w:ascii="Calibri" w:hAnsi="Calibri" w:cs="Calibri"/>
          <w:sz w:val="32"/>
          <w:szCs w:val="32"/>
        </w:rPr>
        <w:t xml:space="preserve">During this reporting period we have developed a quarterly report to identify and analyse any changes that we can make or actions we can take that might help to prevent similar deaths in the future. </w:t>
      </w:r>
    </w:p>
    <w:p w14:paraId="2F2D5424" w14:textId="77777777" w:rsidR="00C454D1" w:rsidRPr="00C454D1" w:rsidRDefault="00C454D1" w:rsidP="00C454D1">
      <w:pPr>
        <w:rPr>
          <w:rFonts w:ascii="Calibri" w:hAnsi="Calibri" w:cs="Calibri"/>
          <w:sz w:val="32"/>
          <w:szCs w:val="32"/>
        </w:rPr>
      </w:pPr>
      <w:r w:rsidRPr="00C454D1">
        <w:rPr>
          <w:rFonts w:ascii="Calibri" w:hAnsi="Calibri" w:cs="Calibri"/>
          <w:sz w:val="32"/>
          <w:szCs w:val="32"/>
        </w:rPr>
        <w:t>We have shared this learning with colleagues regionally and nationally so that the findings have a wider impact.</w:t>
      </w:r>
    </w:p>
    <w:p w14:paraId="7901AA6A" w14:textId="77777777" w:rsidR="00C454D1" w:rsidRPr="00C454D1" w:rsidRDefault="00C454D1" w:rsidP="00C454D1">
      <w:pPr>
        <w:rPr>
          <w:rFonts w:ascii="Calibri" w:hAnsi="Calibri" w:cs="Calibri"/>
          <w:sz w:val="32"/>
          <w:szCs w:val="32"/>
        </w:rPr>
      </w:pPr>
      <w:r w:rsidRPr="00C454D1">
        <w:rPr>
          <w:rFonts w:ascii="Calibri" w:hAnsi="Calibri" w:cs="Calibri"/>
          <w:sz w:val="32"/>
          <w:szCs w:val="32"/>
        </w:rPr>
        <w:lastRenderedPageBreak/>
        <w:t xml:space="preserve">We have analysed trends and made targeted interventions in response to these. </w:t>
      </w:r>
    </w:p>
    <w:p w14:paraId="293AC9C1" w14:textId="19BADA7C" w:rsidR="00C454D1" w:rsidRPr="00110CC1" w:rsidRDefault="00C454D1" w:rsidP="00C454D1">
      <w:pPr>
        <w:rPr>
          <w:rFonts w:ascii="Calibri" w:hAnsi="Calibri" w:cs="Calibri"/>
          <w:sz w:val="32"/>
          <w:szCs w:val="32"/>
        </w:rPr>
      </w:pPr>
      <w:r w:rsidRPr="00110CC1">
        <w:rPr>
          <w:rFonts w:ascii="Calibri" w:hAnsi="Calibri" w:cs="Calibri"/>
          <w:sz w:val="32"/>
          <w:szCs w:val="32"/>
        </w:rPr>
        <w:t>There have been 37 Notifications and we have reviewed 53 cases.</w:t>
      </w:r>
    </w:p>
    <w:p w14:paraId="305C86E3" w14:textId="68AF8303" w:rsidR="00C454D1" w:rsidRDefault="00C454D1" w:rsidP="00C454D1">
      <w:pPr>
        <w:rPr>
          <w:rFonts w:ascii="Arial" w:hAnsi="Arial" w:cs="Arial"/>
        </w:rPr>
      </w:pPr>
    </w:p>
    <w:p w14:paraId="3041EE0C" w14:textId="070B07A6" w:rsidR="00C454D1" w:rsidRDefault="00C308C6" w:rsidP="00C454D1">
      <w:pPr>
        <w:rPr>
          <w:rFonts w:ascii="Arial" w:hAnsi="Arial" w:cs="Arial"/>
        </w:rPr>
      </w:pPr>
      <w:hyperlink r:id="rId15" w:history="1">
        <w:r w:rsidR="00C454D1" w:rsidRPr="00C454D1">
          <w:rPr>
            <w:rStyle w:val="Hyperlink"/>
            <w:rFonts w:ascii="Arial" w:hAnsi="Arial" w:cs="Arial"/>
          </w:rPr>
          <w:t>Full CDOP Report</w:t>
        </w:r>
      </w:hyperlink>
    </w:p>
    <w:p w14:paraId="4D3132DC" w14:textId="73790DAA" w:rsidR="00C454D1" w:rsidRDefault="00C454D1" w:rsidP="00C454D1">
      <w:pPr>
        <w:rPr>
          <w:rFonts w:ascii="Arial" w:hAnsi="Arial" w:cs="Arial"/>
        </w:rPr>
      </w:pPr>
    </w:p>
    <w:p w14:paraId="060E3A9B" w14:textId="1221DA2B" w:rsidR="00C454D1" w:rsidRDefault="00110CC1" w:rsidP="00434500">
      <w:pPr>
        <w:pStyle w:val="Heading1"/>
      </w:pPr>
      <w:r>
        <w:t xml:space="preserve">7f. </w:t>
      </w:r>
      <w:r w:rsidR="00C454D1" w:rsidRPr="00C454D1">
        <w:t>Exploitation Strategic and Operational Groups</w:t>
      </w:r>
    </w:p>
    <w:p w14:paraId="6F01BC34" w14:textId="309DFDEB" w:rsidR="00C454D1" w:rsidRDefault="00C454D1" w:rsidP="00C454D1">
      <w:pPr>
        <w:rPr>
          <w:rFonts w:ascii="Arial" w:hAnsi="Arial" w:cs="Arial"/>
          <w:b/>
          <w:bCs/>
        </w:rPr>
      </w:pPr>
    </w:p>
    <w:p w14:paraId="53C6C797" w14:textId="37BB6988" w:rsidR="00C454D1" w:rsidRPr="00561BB2" w:rsidRDefault="00C454D1" w:rsidP="00561BB2">
      <w:pPr>
        <w:pStyle w:val="ListParagraph"/>
        <w:numPr>
          <w:ilvl w:val="0"/>
          <w:numId w:val="32"/>
        </w:numPr>
        <w:rPr>
          <w:rFonts w:cstheme="minorHAnsi"/>
          <w:sz w:val="32"/>
          <w:szCs w:val="32"/>
        </w:rPr>
      </w:pPr>
      <w:r w:rsidRPr="00561BB2">
        <w:rPr>
          <w:rFonts w:cstheme="minorHAnsi"/>
          <w:sz w:val="32"/>
          <w:szCs w:val="32"/>
        </w:rPr>
        <w:t>We undertake quarterly meetings with strategic and operational partners from health, education, social care, housing, youth justice. The Police chair both of these groups.</w:t>
      </w:r>
    </w:p>
    <w:p w14:paraId="0BE3D13D" w14:textId="2BCC4BF1" w:rsidR="00C454D1" w:rsidRPr="00561BB2" w:rsidRDefault="00C454D1" w:rsidP="00561BB2">
      <w:pPr>
        <w:pStyle w:val="ListParagraph"/>
        <w:numPr>
          <w:ilvl w:val="0"/>
          <w:numId w:val="32"/>
        </w:numPr>
        <w:rPr>
          <w:rFonts w:cstheme="minorHAnsi"/>
          <w:sz w:val="32"/>
          <w:szCs w:val="32"/>
        </w:rPr>
      </w:pPr>
      <w:r w:rsidRPr="00561BB2">
        <w:rPr>
          <w:rFonts w:cstheme="minorHAnsi"/>
          <w:sz w:val="32"/>
          <w:szCs w:val="32"/>
        </w:rPr>
        <w:t>We are developing a partnership problem profile from data provided by all agencies including the Violence Reduction Unit in relation to child exploitation</w:t>
      </w:r>
      <w:r w:rsidR="00110CC1" w:rsidRPr="00561BB2">
        <w:rPr>
          <w:rFonts w:cstheme="minorHAnsi"/>
          <w:sz w:val="32"/>
          <w:szCs w:val="32"/>
        </w:rPr>
        <w:t>.</w:t>
      </w:r>
    </w:p>
    <w:p w14:paraId="3DDEBB6C" w14:textId="578A259B" w:rsidR="00C454D1" w:rsidRPr="00561BB2" w:rsidRDefault="00C454D1" w:rsidP="00561BB2">
      <w:pPr>
        <w:pStyle w:val="ListParagraph"/>
        <w:numPr>
          <w:ilvl w:val="0"/>
          <w:numId w:val="32"/>
        </w:numPr>
        <w:rPr>
          <w:rFonts w:cstheme="minorHAnsi"/>
          <w:sz w:val="32"/>
          <w:szCs w:val="32"/>
        </w:rPr>
      </w:pPr>
      <w:r w:rsidRPr="00561BB2">
        <w:rPr>
          <w:rFonts w:cstheme="minorHAnsi"/>
          <w:sz w:val="32"/>
          <w:szCs w:val="32"/>
        </w:rPr>
        <w:t>By collating and analysing data we are able to identify any patterns, trends and issues in relation to risk and vulnerability of children so resources and interventions can be targeted and prioritised</w:t>
      </w:r>
      <w:r w:rsidR="00110CC1" w:rsidRPr="00561BB2">
        <w:rPr>
          <w:rFonts w:cstheme="minorHAnsi"/>
          <w:sz w:val="32"/>
          <w:szCs w:val="32"/>
        </w:rPr>
        <w:t>.</w:t>
      </w:r>
      <w:r w:rsidRPr="00561BB2">
        <w:rPr>
          <w:rFonts w:cstheme="minorHAnsi"/>
          <w:sz w:val="32"/>
          <w:szCs w:val="32"/>
        </w:rPr>
        <w:t xml:space="preserve"> </w:t>
      </w:r>
    </w:p>
    <w:p w14:paraId="24C8E2CC" w14:textId="69D188F7" w:rsidR="00C454D1" w:rsidRPr="00561BB2" w:rsidRDefault="00C454D1" w:rsidP="00561BB2">
      <w:pPr>
        <w:pStyle w:val="ListParagraph"/>
        <w:numPr>
          <w:ilvl w:val="0"/>
          <w:numId w:val="32"/>
        </w:numPr>
        <w:rPr>
          <w:rFonts w:cstheme="minorHAnsi"/>
          <w:sz w:val="32"/>
          <w:szCs w:val="32"/>
        </w:rPr>
      </w:pPr>
      <w:r w:rsidRPr="00561BB2">
        <w:rPr>
          <w:rFonts w:cstheme="minorHAnsi"/>
          <w:sz w:val="32"/>
          <w:szCs w:val="32"/>
        </w:rPr>
        <w:t>We share findings appropriately with young people within Kirklees to understand if this is reflective of their lived experience</w:t>
      </w:r>
      <w:r w:rsidR="00110CC1" w:rsidRPr="00561BB2">
        <w:rPr>
          <w:rFonts w:cstheme="minorHAnsi"/>
          <w:sz w:val="32"/>
          <w:szCs w:val="32"/>
        </w:rPr>
        <w:t>.</w:t>
      </w:r>
    </w:p>
    <w:p w14:paraId="3822FC75" w14:textId="300D4129" w:rsidR="00C454D1" w:rsidRPr="00561BB2" w:rsidRDefault="00C454D1" w:rsidP="00561BB2">
      <w:pPr>
        <w:pStyle w:val="ListParagraph"/>
        <w:numPr>
          <w:ilvl w:val="0"/>
          <w:numId w:val="32"/>
        </w:numPr>
        <w:rPr>
          <w:rFonts w:cstheme="minorHAnsi"/>
          <w:sz w:val="32"/>
          <w:szCs w:val="32"/>
        </w:rPr>
      </w:pPr>
      <w:r w:rsidRPr="00561BB2">
        <w:rPr>
          <w:rFonts w:cstheme="minorHAnsi"/>
          <w:sz w:val="32"/>
          <w:szCs w:val="32"/>
        </w:rPr>
        <w:t>Reviewing and refreshing local strategic partnership policies and practices to address all forms of child exploitation.</w:t>
      </w:r>
    </w:p>
    <w:p w14:paraId="07898F13" w14:textId="77777777" w:rsidR="00434500" w:rsidRDefault="00434500" w:rsidP="00C454D1">
      <w:pPr>
        <w:rPr>
          <w:rFonts w:ascii="Arial" w:hAnsi="Arial" w:cs="Arial"/>
        </w:rPr>
      </w:pPr>
    </w:p>
    <w:p w14:paraId="271E04A1" w14:textId="45A373C0" w:rsidR="00C454D1" w:rsidRDefault="00110CC1" w:rsidP="00434500">
      <w:pPr>
        <w:pStyle w:val="Heading1"/>
      </w:pPr>
      <w:r>
        <w:t xml:space="preserve">7g. </w:t>
      </w:r>
      <w:r w:rsidR="00C454D1" w:rsidRPr="00C454D1">
        <w:t>Policies, Procedures and Guidance Sub Group</w:t>
      </w:r>
    </w:p>
    <w:p w14:paraId="376625F4" w14:textId="64CAC96C" w:rsidR="00C454D1" w:rsidRDefault="00C454D1" w:rsidP="00C454D1">
      <w:pPr>
        <w:rPr>
          <w:rFonts w:ascii="Arial" w:hAnsi="Arial" w:cs="Arial"/>
          <w:b/>
          <w:bCs/>
        </w:rPr>
      </w:pPr>
    </w:p>
    <w:p w14:paraId="5B48B27E" w14:textId="77777777" w:rsidR="00C454D1" w:rsidRPr="00C454D1" w:rsidRDefault="00C454D1" w:rsidP="00C454D1">
      <w:pPr>
        <w:rPr>
          <w:rFonts w:cstheme="minorHAnsi"/>
          <w:sz w:val="32"/>
          <w:szCs w:val="32"/>
        </w:rPr>
      </w:pPr>
      <w:r w:rsidRPr="00C454D1">
        <w:rPr>
          <w:rFonts w:cstheme="minorHAnsi"/>
          <w:sz w:val="32"/>
          <w:szCs w:val="32"/>
        </w:rPr>
        <w:t>Influenced the following Factors:</w:t>
      </w:r>
    </w:p>
    <w:p w14:paraId="0EF47E31" w14:textId="77777777" w:rsidR="00C454D1" w:rsidRPr="00561BB2" w:rsidRDefault="00C454D1" w:rsidP="00561BB2">
      <w:pPr>
        <w:pStyle w:val="ListParagraph"/>
        <w:numPr>
          <w:ilvl w:val="0"/>
          <w:numId w:val="28"/>
        </w:numPr>
        <w:rPr>
          <w:rFonts w:cstheme="minorHAnsi"/>
          <w:sz w:val="32"/>
          <w:szCs w:val="32"/>
        </w:rPr>
      </w:pPr>
      <w:r w:rsidRPr="00561BB2">
        <w:rPr>
          <w:rFonts w:cstheme="minorHAnsi"/>
          <w:sz w:val="32"/>
          <w:szCs w:val="32"/>
        </w:rPr>
        <w:t>The Kirklees Safeguarding Children’s Partnership co-ordinates the development of policies, procedures and practice guidance for safeguarding and promoting the welfare of children and young people in Kirklees. The group analyses the implications of national multi-agency policies, procedures, practice guidance or research findings in terms of the need to develop any additional local policy, procedures or practice guidance.</w:t>
      </w:r>
    </w:p>
    <w:p w14:paraId="5499DF4A" w14:textId="77777777" w:rsidR="00C454D1" w:rsidRPr="00561BB2" w:rsidRDefault="00C454D1" w:rsidP="00561BB2">
      <w:pPr>
        <w:pStyle w:val="ListParagraph"/>
        <w:numPr>
          <w:ilvl w:val="0"/>
          <w:numId w:val="28"/>
        </w:numPr>
        <w:rPr>
          <w:rFonts w:cstheme="minorHAnsi"/>
          <w:sz w:val="32"/>
          <w:szCs w:val="32"/>
        </w:rPr>
      </w:pPr>
      <w:r w:rsidRPr="00561BB2">
        <w:rPr>
          <w:rFonts w:cstheme="minorHAnsi"/>
          <w:sz w:val="32"/>
          <w:szCs w:val="32"/>
        </w:rPr>
        <w:t>Updated Procedures during reporting period</w:t>
      </w:r>
    </w:p>
    <w:p w14:paraId="2E17EA48" w14:textId="77777777" w:rsidR="00C454D1" w:rsidRPr="00561BB2" w:rsidRDefault="00C454D1" w:rsidP="00561BB2">
      <w:pPr>
        <w:pStyle w:val="ListParagraph"/>
        <w:numPr>
          <w:ilvl w:val="0"/>
          <w:numId w:val="28"/>
        </w:numPr>
        <w:rPr>
          <w:rFonts w:cstheme="minorHAnsi"/>
          <w:sz w:val="32"/>
          <w:szCs w:val="32"/>
        </w:rPr>
      </w:pPr>
      <w:r w:rsidRPr="00561BB2">
        <w:rPr>
          <w:rFonts w:cstheme="minorHAnsi"/>
          <w:sz w:val="32"/>
          <w:szCs w:val="32"/>
        </w:rPr>
        <w:lastRenderedPageBreak/>
        <w:t xml:space="preserve">Briefings: Supervision, Victim blaming language; Escalation process; Harmful Sexual Behaviour. </w:t>
      </w:r>
    </w:p>
    <w:p w14:paraId="6683A22C" w14:textId="77777777" w:rsidR="00C454D1" w:rsidRPr="00561BB2" w:rsidRDefault="00C454D1" w:rsidP="00561BB2">
      <w:pPr>
        <w:pStyle w:val="ListParagraph"/>
        <w:numPr>
          <w:ilvl w:val="0"/>
          <w:numId w:val="28"/>
        </w:numPr>
        <w:rPr>
          <w:rFonts w:cstheme="minorHAnsi"/>
          <w:sz w:val="32"/>
          <w:szCs w:val="32"/>
        </w:rPr>
      </w:pPr>
      <w:r w:rsidRPr="00561BB2">
        <w:rPr>
          <w:rFonts w:cstheme="minorHAnsi"/>
          <w:sz w:val="32"/>
          <w:szCs w:val="32"/>
        </w:rPr>
        <w:t>We continue to collaborate with the wider West Yorkshire Procedures TRIX group.</w:t>
      </w:r>
    </w:p>
    <w:p w14:paraId="62F15FE7" w14:textId="77777777" w:rsidR="00C454D1" w:rsidRPr="00C454D1" w:rsidRDefault="00C454D1" w:rsidP="00C454D1">
      <w:pPr>
        <w:rPr>
          <w:rFonts w:cstheme="minorHAnsi"/>
          <w:sz w:val="32"/>
          <w:szCs w:val="32"/>
        </w:rPr>
      </w:pPr>
      <w:r w:rsidRPr="00C454D1">
        <w:rPr>
          <w:rFonts w:cstheme="minorHAnsi"/>
          <w:sz w:val="32"/>
          <w:szCs w:val="32"/>
        </w:rPr>
        <w:t>Future work planned for 2022-2023:</w:t>
      </w:r>
    </w:p>
    <w:p w14:paraId="60F90CAA" w14:textId="77777777" w:rsidR="00C454D1" w:rsidRPr="00561BB2" w:rsidRDefault="00C454D1" w:rsidP="00561BB2">
      <w:pPr>
        <w:pStyle w:val="ListParagraph"/>
        <w:numPr>
          <w:ilvl w:val="0"/>
          <w:numId w:val="29"/>
        </w:numPr>
        <w:rPr>
          <w:rFonts w:cstheme="minorHAnsi"/>
          <w:sz w:val="32"/>
          <w:szCs w:val="32"/>
        </w:rPr>
      </w:pPr>
      <w:r w:rsidRPr="00561BB2">
        <w:rPr>
          <w:rFonts w:cstheme="minorHAnsi"/>
          <w:sz w:val="32"/>
          <w:szCs w:val="32"/>
        </w:rPr>
        <w:t xml:space="preserve">The group intends to continue to approve briefings and policies throughout the year. </w:t>
      </w:r>
    </w:p>
    <w:p w14:paraId="4D67B73D" w14:textId="77777777" w:rsidR="00C454D1" w:rsidRPr="00561BB2" w:rsidRDefault="00C454D1" w:rsidP="00561BB2">
      <w:pPr>
        <w:pStyle w:val="ListParagraph"/>
        <w:numPr>
          <w:ilvl w:val="0"/>
          <w:numId w:val="29"/>
        </w:numPr>
        <w:rPr>
          <w:rFonts w:cstheme="minorHAnsi"/>
          <w:sz w:val="32"/>
          <w:szCs w:val="32"/>
        </w:rPr>
      </w:pPr>
      <w:r w:rsidRPr="00561BB2">
        <w:rPr>
          <w:rFonts w:cstheme="minorHAnsi"/>
          <w:sz w:val="32"/>
          <w:szCs w:val="32"/>
        </w:rPr>
        <w:t>These include procedures relating to Information sharing, Mental Capacity, Adolescent Suicide and self harm, Professional curiosity, Disguised compliance, Abusive head trauma, Children and families who go missing, Transitions to adulthood and Non recent abuse.</w:t>
      </w:r>
    </w:p>
    <w:p w14:paraId="1EED8511" w14:textId="77777777" w:rsidR="00C454D1" w:rsidRPr="00C454D1" w:rsidRDefault="00C454D1" w:rsidP="00C454D1">
      <w:pPr>
        <w:rPr>
          <w:rFonts w:cstheme="minorHAnsi"/>
          <w:sz w:val="32"/>
          <w:szCs w:val="32"/>
        </w:rPr>
      </w:pPr>
      <w:r w:rsidRPr="00C454D1">
        <w:rPr>
          <w:rFonts w:cstheme="minorHAnsi"/>
          <w:sz w:val="32"/>
          <w:szCs w:val="32"/>
        </w:rPr>
        <w:t>Key Factor:</w:t>
      </w:r>
    </w:p>
    <w:p w14:paraId="529E0E86" w14:textId="34B8EAB6"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The group convened 4 times</w:t>
      </w:r>
    </w:p>
    <w:p w14:paraId="3511228E" w14:textId="6D6784A4" w:rsidR="00C454D1" w:rsidRDefault="00C454D1" w:rsidP="00C454D1">
      <w:pPr>
        <w:rPr>
          <w:rFonts w:ascii="Arial" w:hAnsi="Arial" w:cs="Arial"/>
        </w:rPr>
      </w:pPr>
    </w:p>
    <w:p w14:paraId="3758665D" w14:textId="33750ADF" w:rsidR="00C454D1" w:rsidRDefault="00C308C6" w:rsidP="00C454D1">
      <w:pPr>
        <w:rPr>
          <w:rFonts w:ascii="Arial" w:hAnsi="Arial" w:cs="Arial"/>
        </w:rPr>
      </w:pPr>
      <w:hyperlink r:id="rId16" w:history="1">
        <w:r w:rsidR="00C454D1" w:rsidRPr="00C454D1">
          <w:rPr>
            <w:rStyle w:val="Hyperlink"/>
            <w:rFonts w:ascii="Arial" w:hAnsi="Arial" w:cs="Arial"/>
          </w:rPr>
          <w:t>Presentation page on website</w:t>
        </w:r>
      </w:hyperlink>
    </w:p>
    <w:p w14:paraId="2C2ECD27" w14:textId="1A81173B" w:rsidR="00C454D1" w:rsidRDefault="00C454D1" w:rsidP="00C454D1">
      <w:pPr>
        <w:rPr>
          <w:rFonts w:ascii="Arial" w:hAnsi="Arial" w:cs="Arial"/>
        </w:rPr>
      </w:pPr>
    </w:p>
    <w:p w14:paraId="6564DF8A" w14:textId="22706129" w:rsidR="00C454D1" w:rsidRDefault="00110CC1" w:rsidP="00434500">
      <w:pPr>
        <w:pStyle w:val="Heading1"/>
      </w:pPr>
      <w:r>
        <w:t xml:space="preserve">7h. </w:t>
      </w:r>
      <w:r w:rsidR="00C454D1" w:rsidRPr="00C454D1">
        <w:t>Domestic Abuse impact on Children</w:t>
      </w:r>
    </w:p>
    <w:p w14:paraId="6DE5F866" w14:textId="2A774D07" w:rsidR="00C454D1" w:rsidRDefault="00C454D1" w:rsidP="00C454D1">
      <w:pPr>
        <w:rPr>
          <w:rFonts w:ascii="Arial" w:hAnsi="Arial" w:cs="Arial"/>
          <w:b/>
          <w:bCs/>
        </w:rPr>
      </w:pPr>
    </w:p>
    <w:p w14:paraId="7DEC34DA" w14:textId="77777777" w:rsidR="00C454D1" w:rsidRPr="00C454D1" w:rsidRDefault="00C454D1" w:rsidP="00C454D1">
      <w:pPr>
        <w:rPr>
          <w:rFonts w:cstheme="minorHAnsi"/>
          <w:sz w:val="32"/>
          <w:szCs w:val="32"/>
        </w:rPr>
      </w:pPr>
      <w:r w:rsidRPr="00C454D1">
        <w:rPr>
          <w:rFonts w:cstheme="minorHAnsi"/>
          <w:sz w:val="32"/>
          <w:szCs w:val="32"/>
        </w:rPr>
        <w:t>Influenced the following Factors:</w:t>
      </w:r>
    </w:p>
    <w:p w14:paraId="69B49863"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 xml:space="preserve">Our vision for Kirklees is to have a range of services that are accessible and available to anyone who may need them, working together around individuals, families and communities to prevent, respond to and repair the damage caused by domestic abuse. </w:t>
      </w:r>
    </w:p>
    <w:p w14:paraId="7A83A566" w14:textId="77777777" w:rsidR="00561BB2" w:rsidRDefault="00561BB2" w:rsidP="00C454D1">
      <w:pPr>
        <w:rPr>
          <w:rFonts w:cstheme="minorHAnsi"/>
          <w:sz w:val="32"/>
          <w:szCs w:val="32"/>
        </w:rPr>
      </w:pPr>
    </w:p>
    <w:p w14:paraId="5046FE48" w14:textId="33E53088" w:rsidR="00C454D1" w:rsidRPr="00C454D1" w:rsidRDefault="00C454D1" w:rsidP="00C454D1">
      <w:pPr>
        <w:rPr>
          <w:rFonts w:cstheme="minorHAnsi"/>
          <w:sz w:val="32"/>
          <w:szCs w:val="32"/>
        </w:rPr>
      </w:pPr>
      <w:r w:rsidRPr="00C454D1">
        <w:rPr>
          <w:rFonts w:cstheme="minorHAnsi"/>
          <w:sz w:val="32"/>
          <w:szCs w:val="32"/>
        </w:rPr>
        <w:t>Future work planned for 2022-2023:</w:t>
      </w:r>
    </w:p>
    <w:p w14:paraId="4E95F4B6"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Whole family approach to domestic abuse</w:t>
      </w:r>
    </w:p>
    <w:p w14:paraId="69D9BAD0"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Supporting Perpetrators to change behaviour</w:t>
      </w:r>
    </w:p>
    <w:p w14:paraId="60E0AF74"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Partnership response to victims with multiple needs and/or protected characteristics</w:t>
      </w:r>
    </w:p>
    <w:p w14:paraId="26B7D294"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Supporting victims to maintain or access safe and stable housing</w:t>
      </w:r>
    </w:p>
    <w:p w14:paraId="75163EA5" w14:textId="77777777" w:rsidR="00C454D1" w:rsidRPr="00561BB2" w:rsidRDefault="00C454D1" w:rsidP="00561BB2">
      <w:pPr>
        <w:pStyle w:val="ListParagraph"/>
        <w:numPr>
          <w:ilvl w:val="0"/>
          <w:numId w:val="30"/>
        </w:numPr>
        <w:rPr>
          <w:rFonts w:cstheme="minorHAnsi"/>
          <w:sz w:val="32"/>
          <w:szCs w:val="32"/>
        </w:rPr>
      </w:pPr>
      <w:r w:rsidRPr="00561BB2">
        <w:rPr>
          <w:rFonts w:cstheme="minorHAnsi"/>
          <w:sz w:val="32"/>
          <w:szCs w:val="32"/>
        </w:rPr>
        <w:t>Multi-agency working arrangements</w:t>
      </w:r>
    </w:p>
    <w:p w14:paraId="6482039E" w14:textId="77777777" w:rsidR="00561BB2" w:rsidRDefault="00561BB2" w:rsidP="00C454D1">
      <w:pPr>
        <w:rPr>
          <w:rFonts w:cstheme="minorHAnsi"/>
          <w:sz w:val="32"/>
          <w:szCs w:val="32"/>
        </w:rPr>
      </w:pPr>
    </w:p>
    <w:p w14:paraId="716E39B2" w14:textId="08ACB3FF" w:rsidR="00C454D1" w:rsidRPr="00C454D1" w:rsidRDefault="00C454D1" w:rsidP="00C454D1">
      <w:pPr>
        <w:rPr>
          <w:rFonts w:cstheme="minorHAnsi"/>
          <w:sz w:val="32"/>
          <w:szCs w:val="32"/>
        </w:rPr>
      </w:pPr>
      <w:r w:rsidRPr="00C454D1">
        <w:rPr>
          <w:rFonts w:cstheme="minorHAnsi"/>
          <w:sz w:val="32"/>
          <w:szCs w:val="32"/>
        </w:rPr>
        <w:lastRenderedPageBreak/>
        <w:t>Key Factor:</w:t>
      </w:r>
    </w:p>
    <w:p w14:paraId="3DD2D5A4" w14:textId="243F7BD1" w:rsidR="00C454D1" w:rsidRPr="00561BB2" w:rsidRDefault="00C454D1" w:rsidP="00561BB2">
      <w:pPr>
        <w:pStyle w:val="ListParagraph"/>
        <w:numPr>
          <w:ilvl w:val="0"/>
          <w:numId w:val="31"/>
        </w:numPr>
        <w:rPr>
          <w:rFonts w:cstheme="minorHAnsi"/>
          <w:sz w:val="32"/>
          <w:szCs w:val="32"/>
        </w:rPr>
      </w:pPr>
      <w:r w:rsidRPr="00561BB2">
        <w:rPr>
          <w:rFonts w:cstheme="minorHAnsi"/>
          <w:sz w:val="32"/>
          <w:szCs w:val="32"/>
        </w:rPr>
        <w:t>This group convened 3 times</w:t>
      </w:r>
    </w:p>
    <w:p w14:paraId="327DB96C" w14:textId="1C3F3C6D" w:rsidR="00C454D1" w:rsidRDefault="00C454D1" w:rsidP="00C454D1">
      <w:pPr>
        <w:rPr>
          <w:rFonts w:ascii="Arial" w:hAnsi="Arial" w:cs="Arial"/>
        </w:rPr>
      </w:pPr>
    </w:p>
    <w:p w14:paraId="40FDF36B" w14:textId="5D37D859" w:rsidR="00C454D1" w:rsidRPr="00561BB2" w:rsidRDefault="00110CC1" w:rsidP="00110CC1">
      <w:pPr>
        <w:pStyle w:val="Heading1"/>
        <w:ind w:left="360"/>
        <w:rPr>
          <w:color w:val="548DD4" w:themeColor="text2" w:themeTint="99"/>
        </w:rPr>
      </w:pPr>
      <w:r w:rsidRPr="00561BB2">
        <w:rPr>
          <w:color w:val="548DD4" w:themeColor="text2" w:themeTint="99"/>
        </w:rPr>
        <w:t>8.</w:t>
      </w:r>
      <w:r w:rsidR="00C454D1" w:rsidRPr="00561BB2">
        <w:rPr>
          <w:color w:val="548DD4" w:themeColor="text2" w:themeTint="99"/>
        </w:rPr>
        <w:t>Budget</w:t>
      </w:r>
    </w:p>
    <w:p w14:paraId="6508597E" w14:textId="0C5E237F" w:rsidR="00C454D1" w:rsidRDefault="00C454D1" w:rsidP="00C454D1">
      <w:pPr>
        <w:rPr>
          <w:rFonts w:ascii="Arial" w:hAnsi="Arial" w:cs="Arial"/>
          <w:b/>
          <w:bCs/>
        </w:rPr>
      </w:pPr>
    </w:p>
    <w:p w14:paraId="1284881F" w14:textId="24731EF9" w:rsidR="00C454D1" w:rsidRDefault="00C454D1" w:rsidP="00C454D1">
      <w:pPr>
        <w:rPr>
          <w:rFonts w:ascii="Arial" w:hAnsi="Arial" w:cs="Arial"/>
          <w:b/>
          <w:bCs/>
        </w:rPr>
      </w:pPr>
      <w:r>
        <w:rPr>
          <w:rFonts w:ascii="Arial" w:hAnsi="Arial" w:cs="Arial"/>
          <w:b/>
          <w:bCs/>
        </w:rPr>
        <w:t>Income received</w:t>
      </w:r>
    </w:p>
    <w:p w14:paraId="6F77F385" w14:textId="67C636F1" w:rsidR="00C454D1" w:rsidRDefault="00C454D1" w:rsidP="00C454D1">
      <w:pPr>
        <w:rPr>
          <w:rFonts w:ascii="Arial" w:hAnsi="Arial" w:cs="Arial"/>
          <w:b/>
          <w:bCs/>
        </w:rPr>
      </w:pPr>
    </w:p>
    <w:p w14:paraId="3A369EAE" w14:textId="24F6B2D3" w:rsidR="00C454D1" w:rsidRPr="00110CC1" w:rsidRDefault="00B86393" w:rsidP="00C454D1">
      <w:pPr>
        <w:rPr>
          <w:rFonts w:cstheme="minorHAnsi"/>
          <w:sz w:val="32"/>
          <w:szCs w:val="32"/>
        </w:rPr>
      </w:pPr>
      <w:r w:rsidRPr="00110CC1">
        <w:rPr>
          <w:rFonts w:cstheme="minorHAnsi"/>
          <w:sz w:val="32"/>
          <w:szCs w:val="32"/>
        </w:rPr>
        <w:t xml:space="preserve">Kirklees </w:t>
      </w:r>
      <w:r w:rsidR="00561BB2">
        <w:rPr>
          <w:rFonts w:cstheme="minorHAnsi"/>
          <w:sz w:val="32"/>
          <w:szCs w:val="32"/>
        </w:rPr>
        <w:t>C</w:t>
      </w:r>
      <w:r w:rsidRPr="00110CC1">
        <w:rPr>
          <w:rFonts w:cstheme="minorHAnsi"/>
          <w:sz w:val="32"/>
          <w:szCs w:val="32"/>
        </w:rPr>
        <w:t>ouncil</w:t>
      </w:r>
      <w:r w:rsidRPr="00110CC1">
        <w:rPr>
          <w:rFonts w:cstheme="minorHAnsi"/>
          <w:sz w:val="32"/>
          <w:szCs w:val="32"/>
        </w:rPr>
        <w:tab/>
      </w:r>
      <w:r w:rsidRPr="00110CC1">
        <w:rPr>
          <w:rFonts w:cstheme="minorHAnsi"/>
          <w:sz w:val="32"/>
          <w:szCs w:val="32"/>
        </w:rPr>
        <w:tab/>
      </w:r>
      <w:r w:rsidRPr="00110CC1">
        <w:rPr>
          <w:rFonts w:cstheme="minorHAnsi"/>
          <w:sz w:val="32"/>
          <w:szCs w:val="32"/>
        </w:rPr>
        <w:tab/>
      </w:r>
      <w:r w:rsidRPr="00110CC1">
        <w:rPr>
          <w:rFonts w:cstheme="minorHAnsi"/>
          <w:sz w:val="32"/>
          <w:szCs w:val="32"/>
        </w:rPr>
        <w:tab/>
        <w:t xml:space="preserve">    </w:t>
      </w:r>
      <w:r w:rsidR="00110CC1">
        <w:rPr>
          <w:rFonts w:cstheme="minorHAnsi"/>
          <w:sz w:val="32"/>
          <w:szCs w:val="32"/>
        </w:rPr>
        <w:t xml:space="preserve">          </w:t>
      </w:r>
      <w:r w:rsidRPr="00110CC1">
        <w:rPr>
          <w:rFonts w:cstheme="minorHAnsi"/>
          <w:sz w:val="32"/>
          <w:szCs w:val="32"/>
        </w:rPr>
        <w:t xml:space="preserve">  162,681</w:t>
      </w:r>
    </w:p>
    <w:p w14:paraId="0BEC66B9" w14:textId="708DB94B" w:rsidR="00B86393" w:rsidRPr="00110CC1" w:rsidRDefault="00B86393" w:rsidP="00C454D1">
      <w:pPr>
        <w:rPr>
          <w:rFonts w:cstheme="minorHAnsi"/>
          <w:sz w:val="32"/>
          <w:szCs w:val="32"/>
        </w:rPr>
      </w:pPr>
      <w:r w:rsidRPr="00110CC1">
        <w:rPr>
          <w:rFonts w:cstheme="minorHAnsi"/>
          <w:sz w:val="32"/>
          <w:szCs w:val="32"/>
        </w:rPr>
        <w:t>Clinical Commissioning Group</w:t>
      </w:r>
      <w:r w:rsidRPr="00110CC1">
        <w:rPr>
          <w:rFonts w:cstheme="minorHAnsi"/>
          <w:sz w:val="32"/>
          <w:szCs w:val="32"/>
        </w:rPr>
        <w:tab/>
      </w:r>
      <w:r w:rsidRPr="00110CC1">
        <w:rPr>
          <w:rFonts w:cstheme="minorHAnsi"/>
          <w:sz w:val="32"/>
          <w:szCs w:val="32"/>
        </w:rPr>
        <w:tab/>
        <w:t xml:space="preserve">        88,172</w:t>
      </w:r>
    </w:p>
    <w:p w14:paraId="18782520" w14:textId="78B1AD98" w:rsidR="00B86393" w:rsidRPr="00110CC1" w:rsidRDefault="00B86393" w:rsidP="00C454D1">
      <w:pPr>
        <w:rPr>
          <w:rFonts w:cstheme="minorHAnsi"/>
          <w:sz w:val="32"/>
          <w:szCs w:val="32"/>
        </w:rPr>
      </w:pPr>
      <w:r w:rsidRPr="00110CC1">
        <w:rPr>
          <w:rFonts w:cstheme="minorHAnsi"/>
          <w:sz w:val="32"/>
          <w:szCs w:val="32"/>
        </w:rPr>
        <w:t>West Yorkshire Police</w:t>
      </w:r>
      <w:r w:rsidRPr="00110CC1">
        <w:rPr>
          <w:rFonts w:cstheme="minorHAnsi"/>
          <w:sz w:val="32"/>
          <w:szCs w:val="32"/>
        </w:rPr>
        <w:tab/>
      </w:r>
      <w:r w:rsidRPr="00110CC1">
        <w:rPr>
          <w:rFonts w:cstheme="minorHAnsi"/>
          <w:sz w:val="32"/>
          <w:szCs w:val="32"/>
        </w:rPr>
        <w:tab/>
      </w:r>
      <w:r w:rsidRPr="00110CC1">
        <w:rPr>
          <w:rFonts w:cstheme="minorHAnsi"/>
          <w:sz w:val="32"/>
          <w:szCs w:val="32"/>
        </w:rPr>
        <w:tab/>
        <w:t xml:space="preserve">      </w:t>
      </w:r>
      <w:r w:rsidR="00110CC1">
        <w:rPr>
          <w:rFonts w:cstheme="minorHAnsi"/>
          <w:sz w:val="32"/>
          <w:szCs w:val="32"/>
        </w:rPr>
        <w:t xml:space="preserve">          </w:t>
      </w:r>
      <w:r w:rsidRPr="00110CC1">
        <w:rPr>
          <w:rFonts w:cstheme="minorHAnsi"/>
          <w:sz w:val="32"/>
          <w:szCs w:val="32"/>
        </w:rPr>
        <w:t xml:space="preserve">  14,677</w:t>
      </w:r>
    </w:p>
    <w:p w14:paraId="26DF1392" w14:textId="481155E1" w:rsidR="00B86393" w:rsidRPr="00110CC1" w:rsidRDefault="00B86393" w:rsidP="00C454D1">
      <w:pPr>
        <w:rPr>
          <w:rFonts w:cstheme="minorHAnsi"/>
          <w:sz w:val="32"/>
          <w:szCs w:val="32"/>
        </w:rPr>
      </w:pPr>
      <w:r w:rsidRPr="00110CC1">
        <w:rPr>
          <w:rFonts w:cstheme="minorHAnsi"/>
          <w:sz w:val="32"/>
          <w:szCs w:val="32"/>
        </w:rPr>
        <w:t>Community Rehabilitation Company                  511</w:t>
      </w:r>
    </w:p>
    <w:p w14:paraId="2AF4E332" w14:textId="473263CA" w:rsidR="00B86393" w:rsidRPr="00110CC1" w:rsidRDefault="00B86393" w:rsidP="00C454D1">
      <w:pPr>
        <w:rPr>
          <w:rFonts w:cstheme="minorHAnsi"/>
          <w:sz w:val="32"/>
          <w:szCs w:val="32"/>
        </w:rPr>
      </w:pPr>
      <w:r w:rsidRPr="00110CC1">
        <w:rPr>
          <w:rFonts w:cstheme="minorHAnsi"/>
          <w:sz w:val="32"/>
          <w:szCs w:val="32"/>
        </w:rPr>
        <w:t xml:space="preserve">Training Income                                              </w:t>
      </w:r>
      <w:r w:rsidR="00110CC1">
        <w:rPr>
          <w:rFonts w:cstheme="minorHAnsi"/>
          <w:sz w:val="32"/>
          <w:szCs w:val="32"/>
        </w:rPr>
        <w:t xml:space="preserve">  </w:t>
      </w:r>
      <w:r w:rsidRPr="00110CC1">
        <w:rPr>
          <w:rFonts w:cstheme="minorHAnsi"/>
          <w:sz w:val="32"/>
          <w:szCs w:val="32"/>
        </w:rPr>
        <w:t>13,556</w:t>
      </w:r>
    </w:p>
    <w:p w14:paraId="23657C56" w14:textId="1A40E8DF" w:rsidR="00B86393" w:rsidRPr="00110CC1" w:rsidRDefault="00B86393" w:rsidP="00C454D1">
      <w:pPr>
        <w:rPr>
          <w:rFonts w:cstheme="minorHAnsi"/>
          <w:sz w:val="32"/>
          <w:szCs w:val="32"/>
        </w:rPr>
      </w:pPr>
      <w:r w:rsidRPr="00110CC1">
        <w:rPr>
          <w:rFonts w:cstheme="minorHAnsi"/>
          <w:sz w:val="32"/>
          <w:szCs w:val="32"/>
        </w:rPr>
        <w:t xml:space="preserve">Other income                                                  </w:t>
      </w:r>
      <w:r w:rsidR="00110CC1">
        <w:rPr>
          <w:rFonts w:cstheme="minorHAnsi"/>
          <w:sz w:val="32"/>
          <w:szCs w:val="32"/>
        </w:rPr>
        <w:t xml:space="preserve"> </w:t>
      </w:r>
      <w:r w:rsidRPr="00110CC1">
        <w:rPr>
          <w:rFonts w:cstheme="minorHAnsi"/>
          <w:sz w:val="32"/>
          <w:szCs w:val="32"/>
        </w:rPr>
        <w:t xml:space="preserve"> 18,947</w:t>
      </w:r>
    </w:p>
    <w:p w14:paraId="1042A67B" w14:textId="5E0C3531" w:rsidR="00B86393" w:rsidRPr="00110CC1" w:rsidRDefault="00B86393" w:rsidP="00C454D1">
      <w:pPr>
        <w:rPr>
          <w:rFonts w:cstheme="minorHAnsi"/>
          <w:sz w:val="32"/>
          <w:szCs w:val="32"/>
        </w:rPr>
      </w:pPr>
      <w:r w:rsidRPr="00110CC1">
        <w:rPr>
          <w:rFonts w:cstheme="minorHAnsi"/>
          <w:sz w:val="32"/>
          <w:szCs w:val="32"/>
        </w:rPr>
        <w:t>Expenses</w:t>
      </w:r>
    </w:p>
    <w:p w14:paraId="15618F7D" w14:textId="5ACA7D75" w:rsidR="00B86393" w:rsidRPr="00110CC1" w:rsidRDefault="00B86393" w:rsidP="00C454D1">
      <w:pPr>
        <w:rPr>
          <w:rFonts w:cstheme="minorHAnsi"/>
          <w:sz w:val="32"/>
          <w:szCs w:val="32"/>
        </w:rPr>
      </w:pPr>
    </w:p>
    <w:p w14:paraId="253BE38C" w14:textId="27370220" w:rsidR="00B86393" w:rsidRPr="00110CC1" w:rsidRDefault="00B86393" w:rsidP="00C454D1">
      <w:pPr>
        <w:rPr>
          <w:rFonts w:cstheme="minorHAnsi"/>
          <w:sz w:val="32"/>
          <w:szCs w:val="32"/>
        </w:rPr>
      </w:pPr>
      <w:r w:rsidRPr="00110CC1">
        <w:rPr>
          <w:rFonts w:cstheme="minorHAnsi"/>
          <w:sz w:val="32"/>
          <w:szCs w:val="32"/>
        </w:rPr>
        <w:t xml:space="preserve">Staffing                                     </w:t>
      </w:r>
      <w:r w:rsidR="00110CC1">
        <w:rPr>
          <w:rFonts w:cstheme="minorHAnsi"/>
          <w:sz w:val="32"/>
          <w:szCs w:val="32"/>
        </w:rPr>
        <w:t xml:space="preserve">                  </w:t>
      </w:r>
      <w:r w:rsidR="00561BB2">
        <w:rPr>
          <w:rFonts w:cstheme="minorHAnsi"/>
          <w:sz w:val="32"/>
          <w:szCs w:val="32"/>
        </w:rPr>
        <w:t xml:space="preserve"> </w:t>
      </w:r>
      <w:r w:rsidR="00110CC1">
        <w:rPr>
          <w:rFonts w:cstheme="minorHAnsi"/>
          <w:sz w:val="32"/>
          <w:szCs w:val="32"/>
        </w:rPr>
        <w:t xml:space="preserve">     </w:t>
      </w:r>
      <w:r w:rsidRPr="00110CC1">
        <w:rPr>
          <w:rFonts w:cstheme="minorHAnsi"/>
          <w:sz w:val="32"/>
          <w:szCs w:val="32"/>
        </w:rPr>
        <w:t>254,767</w:t>
      </w:r>
    </w:p>
    <w:p w14:paraId="48D927E6" w14:textId="04594551" w:rsidR="00B86393" w:rsidRPr="00110CC1" w:rsidRDefault="00B86393" w:rsidP="00C454D1">
      <w:pPr>
        <w:rPr>
          <w:rFonts w:cstheme="minorHAnsi"/>
          <w:sz w:val="32"/>
          <w:szCs w:val="32"/>
        </w:rPr>
      </w:pPr>
      <w:r w:rsidRPr="00110CC1">
        <w:rPr>
          <w:rFonts w:cstheme="minorHAnsi"/>
          <w:sz w:val="32"/>
          <w:szCs w:val="32"/>
        </w:rPr>
        <w:t xml:space="preserve">Practice Reviews                        </w:t>
      </w:r>
      <w:r w:rsidR="00110CC1">
        <w:rPr>
          <w:rFonts w:cstheme="minorHAnsi"/>
          <w:sz w:val="32"/>
          <w:szCs w:val="32"/>
        </w:rPr>
        <w:t xml:space="preserve">                      </w:t>
      </w:r>
      <w:r w:rsidR="00561BB2">
        <w:rPr>
          <w:rFonts w:cstheme="minorHAnsi"/>
          <w:sz w:val="32"/>
          <w:szCs w:val="32"/>
        </w:rPr>
        <w:t xml:space="preserve"> </w:t>
      </w:r>
      <w:r w:rsidR="00110CC1">
        <w:rPr>
          <w:rFonts w:cstheme="minorHAnsi"/>
          <w:sz w:val="32"/>
          <w:szCs w:val="32"/>
        </w:rPr>
        <w:t xml:space="preserve"> </w:t>
      </w:r>
      <w:r w:rsidRPr="00110CC1">
        <w:rPr>
          <w:rFonts w:cstheme="minorHAnsi"/>
          <w:sz w:val="32"/>
          <w:szCs w:val="32"/>
        </w:rPr>
        <w:t xml:space="preserve"> 1,650</w:t>
      </w:r>
    </w:p>
    <w:p w14:paraId="798AE4D1" w14:textId="6FC4F709" w:rsidR="00B86393" w:rsidRPr="00110CC1" w:rsidRDefault="00B86393" w:rsidP="00C454D1">
      <w:pPr>
        <w:rPr>
          <w:rFonts w:cstheme="minorHAnsi"/>
          <w:sz w:val="32"/>
          <w:szCs w:val="32"/>
        </w:rPr>
      </w:pPr>
      <w:r w:rsidRPr="00110CC1">
        <w:rPr>
          <w:rFonts w:cstheme="minorHAnsi"/>
          <w:sz w:val="32"/>
          <w:szCs w:val="32"/>
        </w:rPr>
        <w:t xml:space="preserve">Website/software                     </w:t>
      </w:r>
      <w:r w:rsidR="00110CC1">
        <w:rPr>
          <w:rFonts w:cstheme="minorHAnsi"/>
          <w:sz w:val="32"/>
          <w:szCs w:val="32"/>
        </w:rPr>
        <w:t xml:space="preserve">                   </w:t>
      </w:r>
      <w:r w:rsidR="00561BB2">
        <w:rPr>
          <w:rFonts w:cstheme="minorHAnsi"/>
          <w:sz w:val="32"/>
          <w:szCs w:val="32"/>
        </w:rPr>
        <w:t xml:space="preserve"> </w:t>
      </w:r>
      <w:r w:rsidR="00110CC1">
        <w:rPr>
          <w:rFonts w:cstheme="minorHAnsi"/>
          <w:sz w:val="32"/>
          <w:szCs w:val="32"/>
        </w:rPr>
        <w:t xml:space="preserve"> </w:t>
      </w:r>
      <w:r w:rsidRPr="00110CC1">
        <w:rPr>
          <w:rFonts w:cstheme="minorHAnsi"/>
          <w:sz w:val="32"/>
          <w:szCs w:val="32"/>
        </w:rPr>
        <w:t xml:space="preserve">  30,430</w:t>
      </w:r>
    </w:p>
    <w:p w14:paraId="71C96F70" w14:textId="72460077" w:rsidR="00B86393" w:rsidRPr="00110CC1" w:rsidRDefault="00B86393" w:rsidP="00C454D1">
      <w:pPr>
        <w:rPr>
          <w:rFonts w:cstheme="minorHAnsi"/>
          <w:sz w:val="32"/>
          <w:szCs w:val="32"/>
        </w:rPr>
      </w:pPr>
      <w:r w:rsidRPr="00110CC1">
        <w:rPr>
          <w:rFonts w:cstheme="minorHAnsi"/>
          <w:sz w:val="32"/>
          <w:szCs w:val="32"/>
        </w:rPr>
        <w:t xml:space="preserve">Training                                    </w:t>
      </w:r>
      <w:r w:rsidR="00110CC1">
        <w:rPr>
          <w:rFonts w:cstheme="minorHAnsi"/>
          <w:sz w:val="32"/>
          <w:szCs w:val="32"/>
        </w:rPr>
        <w:t xml:space="preserve">                      </w:t>
      </w:r>
      <w:r w:rsidR="00561BB2">
        <w:rPr>
          <w:rFonts w:cstheme="minorHAnsi"/>
          <w:sz w:val="32"/>
          <w:szCs w:val="32"/>
        </w:rPr>
        <w:t xml:space="preserve"> </w:t>
      </w:r>
      <w:r w:rsidR="00110CC1">
        <w:rPr>
          <w:rFonts w:cstheme="minorHAnsi"/>
          <w:sz w:val="32"/>
          <w:szCs w:val="32"/>
        </w:rPr>
        <w:t xml:space="preserve"> </w:t>
      </w:r>
      <w:r w:rsidRPr="00110CC1">
        <w:rPr>
          <w:rFonts w:cstheme="minorHAnsi"/>
          <w:sz w:val="32"/>
          <w:szCs w:val="32"/>
        </w:rPr>
        <w:t xml:space="preserve">  22,425</w:t>
      </w:r>
    </w:p>
    <w:p w14:paraId="71825029" w14:textId="028CBA2A" w:rsidR="00B86393" w:rsidRPr="00110CC1" w:rsidRDefault="00B86393" w:rsidP="00C454D1">
      <w:pPr>
        <w:rPr>
          <w:rFonts w:cstheme="minorHAnsi"/>
          <w:sz w:val="32"/>
          <w:szCs w:val="32"/>
        </w:rPr>
      </w:pPr>
      <w:r w:rsidRPr="00110CC1">
        <w:rPr>
          <w:rFonts w:cstheme="minorHAnsi"/>
          <w:sz w:val="32"/>
          <w:szCs w:val="32"/>
        </w:rPr>
        <w:t xml:space="preserve">Supplies and Services               </w:t>
      </w:r>
      <w:r w:rsidR="00110CC1">
        <w:rPr>
          <w:rFonts w:cstheme="minorHAnsi"/>
          <w:sz w:val="32"/>
          <w:szCs w:val="32"/>
        </w:rPr>
        <w:t xml:space="preserve">                    </w:t>
      </w:r>
      <w:r w:rsidR="00561BB2">
        <w:rPr>
          <w:rFonts w:cstheme="minorHAnsi"/>
          <w:sz w:val="32"/>
          <w:szCs w:val="32"/>
        </w:rPr>
        <w:t xml:space="preserve"> </w:t>
      </w:r>
      <w:r w:rsidR="00110CC1">
        <w:rPr>
          <w:rFonts w:cstheme="minorHAnsi"/>
          <w:sz w:val="32"/>
          <w:szCs w:val="32"/>
        </w:rPr>
        <w:t xml:space="preserve">  </w:t>
      </w:r>
      <w:r w:rsidRPr="00110CC1">
        <w:rPr>
          <w:rFonts w:cstheme="minorHAnsi"/>
          <w:sz w:val="32"/>
          <w:szCs w:val="32"/>
        </w:rPr>
        <w:t xml:space="preserve">  2,084</w:t>
      </w:r>
    </w:p>
    <w:p w14:paraId="1BC0399F" w14:textId="6BCE8425" w:rsidR="00B86393" w:rsidRPr="00110CC1" w:rsidRDefault="00B86393" w:rsidP="00C454D1">
      <w:pPr>
        <w:rPr>
          <w:rFonts w:cstheme="minorHAnsi"/>
          <w:sz w:val="32"/>
          <w:szCs w:val="32"/>
        </w:rPr>
      </w:pPr>
      <w:r w:rsidRPr="00110CC1">
        <w:rPr>
          <w:rFonts w:cstheme="minorHAnsi"/>
          <w:sz w:val="32"/>
          <w:szCs w:val="32"/>
        </w:rPr>
        <w:t xml:space="preserve">Independent Scrutineer           </w:t>
      </w:r>
      <w:r w:rsidR="00110CC1">
        <w:rPr>
          <w:rFonts w:cstheme="minorHAnsi"/>
          <w:sz w:val="32"/>
          <w:szCs w:val="32"/>
        </w:rPr>
        <w:t xml:space="preserve">                   </w:t>
      </w:r>
      <w:r w:rsidRPr="00110CC1">
        <w:rPr>
          <w:rFonts w:cstheme="minorHAnsi"/>
          <w:sz w:val="32"/>
          <w:szCs w:val="32"/>
        </w:rPr>
        <w:t xml:space="preserve"> </w:t>
      </w:r>
      <w:r w:rsidR="00561BB2">
        <w:rPr>
          <w:rFonts w:cstheme="minorHAnsi"/>
          <w:sz w:val="32"/>
          <w:szCs w:val="32"/>
        </w:rPr>
        <w:t xml:space="preserve"> </w:t>
      </w:r>
      <w:r w:rsidRPr="00110CC1">
        <w:rPr>
          <w:rFonts w:cstheme="minorHAnsi"/>
          <w:sz w:val="32"/>
          <w:szCs w:val="32"/>
        </w:rPr>
        <w:t xml:space="preserve"> 10,166</w:t>
      </w:r>
    </w:p>
    <w:p w14:paraId="14041F35" w14:textId="7D2DF36A" w:rsidR="00B86393" w:rsidRDefault="00B86393" w:rsidP="00C454D1">
      <w:pPr>
        <w:rPr>
          <w:rFonts w:ascii="Arial" w:hAnsi="Arial" w:cs="Arial"/>
        </w:rPr>
      </w:pPr>
    </w:p>
    <w:p w14:paraId="66E02E6E" w14:textId="350BD740" w:rsidR="00B86393" w:rsidRPr="000C150D" w:rsidRDefault="000C150D" w:rsidP="00C454D1">
      <w:pPr>
        <w:rPr>
          <w:rFonts w:cstheme="minorHAnsi"/>
          <w:sz w:val="32"/>
          <w:szCs w:val="32"/>
        </w:rPr>
      </w:pPr>
      <w:r w:rsidRPr="000C150D">
        <w:rPr>
          <w:rFonts w:cstheme="minorHAnsi"/>
          <w:sz w:val="32"/>
          <w:szCs w:val="32"/>
        </w:rPr>
        <w:t>The overspend of £23,022 has been due to training costs v training income which were impacted due to Covid and this will be eased moving forward.</w:t>
      </w:r>
    </w:p>
    <w:p w14:paraId="6AC479A0" w14:textId="0E7ACCB7" w:rsidR="00B86393" w:rsidRDefault="00B86393" w:rsidP="00C454D1">
      <w:pPr>
        <w:rPr>
          <w:rFonts w:ascii="Arial" w:hAnsi="Arial" w:cs="Arial"/>
        </w:rPr>
      </w:pPr>
    </w:p>
    <w:p w14:paraId="180C3704" w14:textId="29F4D201" w:rsidR="00B86393" w:rsidRPr="00561BB2" w:rsidRDefault="00110CC1" w:rsidP="00110CC1">
      <w:pPr>
        <w:pStyle w:val="Heading1"/>
        <w:ind w:left="360"/>
        <w:rPr>
          <w:color w:val="548DD4" w:themeColor="text2" w:themeTint="99"/>
        </w:rPr>
      </w:pPr>
      <w:r w:rsidRPr="00561BB2">
        <w:rPr>
          <w:color w:val="548DD4" w:themeColor="text2" w:themeTint="99"/>
        </w:rPr>
        <w:t>9. O</w:t>
      </w:r>
      <w:r w:rsidR="00B86393" w:rsidRPr="00561BB2">
        <w:rPr>
          <w:color w:val="548DD4" w:themeColor="text2" w:themeTint="99"/>
        </w:rPr>
        <w:t>ther achievements and reports received to the Partnership</w:t>
      </w:r>
    </w:p>
    <w:p w14:paraId="2E22DB59" w14:textId="0A45C432" w:rsidR="00B86393" w:rsidRDefault="00B86393" w:rsidP="00C454D1">
      <w:pPr>
        <w:rPr>
          <w:rFonts w:ascii="Arial" w:hAnsi="Arial" w:cs="Arial"/>
          <w:b/>
          <w:bCs/>
        </w:rPr>
      </w:pPr>
    </w:p>
    <w:p w14:paraId="4DC3554D"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Front Door Peer Review </w:t>
      </w:r>
    </w:p>
    <w:p w14:paraId="59AC5AC4"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Locality Review /Strategic framework assessment report </w:t>
      </w:r>
    </w:p>
    <w:p w14:paraId="4422EB58"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Tackling Child Exploitation Project</w:t>
      </w:r>
    </w:p>
    <w:p w14:paraId="0AAB5627"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Crest report Violence and Vulnerabilities </w:t>
      </w:r>
    </w:p>
    <w:p w14:paraId="6A14DF12"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National Youth Agency report </w:t>
      </w:r>
    </w:p>
    <w:p w14:paraId="3DBEABA0"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Letter from Ministers impact of COVID </w:t>
      </w:r>
    </w:p>
    <w:p w14:paraId="56CAFD27"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 xml:space="preserve">Protecting children from Harm report </w:t>
      </w:r>
    </w:p>
    <w:p w14:paraId="445EADD0"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lastRenderedPageBreak/>
        <w:t>Independent review of the modifications relating to Child Protection planning process, practice, and outcomes for children</w:t>
      </w:r>
    </w:p>
    <w:p w14:paraId="7F3EECEF" w14:textId="77777777"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Our Voice</w:t>
      </w:r>
    </w:p>
    <w:p w14:paraId="318463FE" w14:textId="2C148E01" w:rsidR="00B86393" w:rsidRPr="00110CC1" w:rsidRDefault="00B86393" w:rsidP="00B86393">
      <w:pPr>
        <w:pStyle w:val="ListParagraph"/>
        <w:numPr>
          <w:ilvl w:val="0"/>
          <w:numId w:val="8"/>
        </w:numPr>
        <w:rPr>
          <w:rFonts w:cstheme="minorHAnsi"/>
          <w:sz w:val="32"/>
          <w:szCs w:val="32"/>
        </w:rPr>
      </w:pPr>
      <w:r w:rsidRPr="00110CC1">
        <w:rPr>
          <w:rFonts w:cstheme="minorHAnsi"/>
          <w:sz w:val="32"/>
          <w:szCs w:val="32"/>
        </w:rPr>
        <w:t>Ofsted “Focused inspection” covering Children in Care</w:t>
      </w:r>
    </w:p>
    <w:sectPr w:rsidR="00B86393" w:rsidRPr="00110CC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8FA" w14:textId="77777777" w:rsidR="009115CE" w:rsidRDefault="009115CE" w:rsidP="009115CE">
      <w:r>
        <w:separator/>
      </w:r>
    </w:p>
  </w:endnote>
  <w:endnote w:type="continuationSeparator" w:id="0">
    <w:p w14:paraId="59EC90BE" w14:textId="77777777" w:rsidR="009115CE" w:rsidRDefault="009115CE" w:rsidP="0091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613766"/>
      <w:docPartObj>
        <w:docPartGallery w:val="Page Numbers (Bottom of Page)"/>
        <w:docPartUnique/>
      </w:docPartObj>
    </w:sdtPr>
    <w:sdtEndPr>
      <w:rPr>
        <w:color w:val="0070C0"/>
        <w:spacing w:val="60"/>
      </w:rPr>
    </w:sdtEndPr>
    <w:sdtContent>
      <w:p w14:paraId="29BA4FEA" w14:textId="5113C5FF" w:rsidR="009115CE" w:rsidRDefault="009115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02D88">
          <w:rPr>
            <w:color w:val="0070C0"/>
            <w:spacing w:val="60"/>
          </w:rPr>
          <w:t>Page</w:t>
        </w:r>
      </w:p>
    </w:sdtContent>
  </w:sdt>
  <w:p w14:paraId="251092B3" w14:textId="77777777" w:rsidR="009115CE" w:rsidRDefault="0091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A178" w14:textId="77777777" w:rsidR="009115CE" w:rsidRDefault="009115CE" w:rsidP="009115CE">
      <w:r>
        <w:separator/>
      </w:r>
    </w:p>
  </w:footnote>
  <w:footnote w:type="continuationSeparator" w:id="0">
    <w:p w14:paraId="091660D7" w14:textId="77777777" w:rsidR="009115CE" w:rsidRDefault="009115CE" w:rsidP="0091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D09"/>
    <w:multiLevelType w:val="hybridMultilevel"/>
    <w:tmpl w:val="736E9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8C4"/>
    <w:multiLevelType w:val="hybridMultilevel"/>
    <w:tmpl w:val="3C5A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6754E"/>
    <w:multiLevelType w:val="hybridMultilevel"/>
    <w:tmpl w:val="00DC410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2715DC"/>
    <w:multiLevelType w:val="hybridMultilevel"/>
    <w:tmpl w:val="8A36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9780D"/>
    <w:multiLevelType w:val="hybridMultilevel"/>
    <w:tmpl w:val="C6E48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C1F78"/>
    <w:multiLevelType w:val="hybridMultilevel"/>
    <w:tmpl w:val="D5246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63BE"/>
    <w:multiLevelType w:val="hybridMultilevel"/>
    <w:tmpl w:val="864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E6841"/>
    <w:multiLevelType w:val="hybridMultilevel"/>
    <w:tmpl w:val="A6C0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F6F6A"/>
    <w:multiLevelType w:val="hybridMultilevel"/>
    <w:tmpl w:val="7AD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615BE"/>
    <w:multiLevelType w:val="hybridMultilevel"/>
    <w:tmpl w:val="B9F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F5A6F"/>
    <w:multiLevelType w:val="hybridMultilevel"/>
    <w:tmpl w:val="102E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2070E"/>
    <w:multiLevelType w:val="hybridMultilevel"/>
    <w:tmpl w:val="24B2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C52E3"/>
    <w:multiLevelType w:val="hybridMultilevel"/>
    <w:tmpl w:val="1B3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4F2C"/>
    <w:multiLevelType w:val="hybridMultilevel"/>
    <w:tmpl w:val="40AE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B032D"/>
    <w:multiLevelType w:val="hybridMultilevel"/>
    <w:tmpl w:val="1EAE5C7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99496C"/>
    <w:multiLevelType w:val="hybridMultilevel"/>
    <w:tmpl w:val="F3720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F22E7"/>
    <w:multiLevelType w:val="hybridMultilevel"/>
    <w:tmpl w:val="47505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A3A6C"/>
    <w:multiLevelType w:val="hybridMultilevel"/>
    <w:tmpl w:val="E2CE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42FC7"/>
    <w:multiLevelType w:val="hybridMultilevel"/>
    <w:tmpl w:val="45AE7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B535CE"/>
    <w:multiLevelType w:val="hybridMultilevel"/>
    <w:tmpl w:val="C14E4E30"/>
    <w:lvl w:ilvl="0" w:tplc="829C3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E2E88"/>
    <w:multiLevelType w:val="hybridMultilevel"/>
    <w:tmpl w:val="8C3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F324B"/>
    <w:multiLevelType w:val="hybridMultilevel"/>
    <w:tmpl w:val="4294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B543E"/>
    <w:multiLevelType w:val="hybridMultilevel"/>
    <w:tmpl w:val="A44E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609A8"/>
    <w:multiLevelType w:val="hybridMultilevel"/>
    <w:tmpl w:val="67C8B9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A01550"/>
    <w:multiLevelType w:val="hybridMultilevel"/>
    <w:tmpl w:val="871E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6F6B"/>
    <w:multiLevelType w:val="hybridMultilevel"/>
    <w:tmpl w:val="4210E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25F50"/>
    <w:multiLevelType w:val="hybridMultilevel"/>
    <w:tmpl w:val="ABE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E18B8"/>
    <w:multiLevelType w:val="hybridMultilevel"/>
    <w:tmpl w:val="16340D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272C22"/>
    <w:multiLevelType w:val="hybridMultilevel"/>
    <w:tmpl w:val="A096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85B31"/>
    <w:multiLevelType w:val="hybridMultilevel"/>
    <w:tmpl w:val="7C80C6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9C7CDA"/>
    <w:multiLevelType w:val="hybridMultilevel"/>
    <w:tmpl w:val="070CC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D17AE8"/>
    <w:multiLevelType w:val="hybridMultilevel"/>
    <w:tmpl w:val="31D6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F0498"/>
    <w:multiLevelType w:val="hybridMultilevel"/>
    <w:tmpl w:val="10ECB0A8"/>
    <w:lvl w:ilvl="0" w:tplc="C4DA6C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0406B"/>
    <w:multiLevelType w:val="hybridMultilevel"/>
    <w:tmpl w:val="1B5E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504456">
    <w:abstractNumId w:val="27"/>
  </w:num>
  <w:num w:numId="2" w16cid:durableId="1300500146">
    <w:abstractNumId w:val="30"/>
  </w:num>
  <w:num w:numId="3" w16cid:durableId="1976910602">
    <w:abstractNumId w:val="23"/>
  </w:num>
  <w:num w:numId="4" w16cid:durableId="691882970">
    <w:abstractNumId w:val="25"/>
  </w:num>
  <w:num w:numId="5" w16cid:durableId="1288588358">
    <w:abstractNumId w:val="23"/>
  </w:num>
  <w:num w:numId="6" w16cid:durableId="1380285013">
    <w:abstractNumId w:val="17"/>
  </w:num>
  <w:num w:numId="7" w16cid:durableId="1088501952">
    <w:abstractNumId w:val="32"/>
  </w:num>
  <w:num w:numId="8" w16cid:durableId="1509562657">
    <w:abstractNumId w:val="9"/>
  </w:num>
  <w:num w:numId="9" w16cid:durableId="370229812">
    <w:abstractNumId w:val="3"/>
  </w:num>
  <w:num w:numId="10" w16cid:durableId="1927304843">
    <w:abstractNumId w:val="22"/>
  </w:num>
  <w:num w:numId="11" w16cid:durableId="1879078828">
    <w:abstractNumId w:val="14"/>
  </w:num>
  <w:num w:numId="12" w16cid:durableId="611787843">
    <w:abstractNumId w:val="16"/>
  </w:num>
  <w:num w:numId="13" w16cid:durableId="1366710818">
    <w:abstractNumId w:val="0"/>
  </w:num>
  <w:num w:numId="14" w16cid:durableId="547186568">
    <w:abstractNumId w:val="18"/>
  </w:num>
  <w:num w:numId="15" w16cid:durableId="1903756241">
    <w:abstractNumId w:val="31"/>
  </w:num>
  <w:num w:numId="16" w16cid:durableId="1324358581">
    <w:abstractNumId w:val="1"/>
  </w:num>
  <w:num w:numId="17" w16cid:durableId="814644388">
    <w:abstractNumId w:val="5"/>
  </w:num>
  <w:num w:numId="18" w16cid:durableId="1070037125">
    <w:abstractNumId w:val="15"/>
  </w:num>
  <w:num w:numId="19" w16cid:durableId="312442775">
    <w:abstractNumId w:val="7"/>
  </w:num>
  <w:num w:numId="20" w16cid:durableId="1976447723">
    <w:abstractNumId w:val="2"/>
  </w:num>
  <w:num w:numId="21" w16cid:durableId="531000232">
    <w:abstractNumId w:val="20"/>
  </w:num>
  <w:num w:numId="22" w16cid:durableId="1778481039">
    <w:abstractNumId w:val="28"/>
  </w:num>
  <w:num w:numId="23" w16cid:durableId="1743478618">
    <w:abstractNumId w:val="11"/>
  </w:num>
  <w:num w:numId="24" w16cid:durableId="1265578998">
    <w:abstractNumId w:val="4"/>
  </w:num>
  <w:num w:numId="25" w16cid:durableId="842089481">
    <w:abstractNumId w:val="19"/>
  </w:num>
  <w:num w:numId="26" w16cid:durableId="1911574135">
    <w:abstractNumId w:val="26"/>
  </w:num>
  <w:num w:numId="27" w16cid:durableId="2095543462">
    <w:abstractNumId w:val="21"/>
  </w:num>
  <w:num w:numId="28" w16cid:durableId="605384212">
    <w:abstractNumId w:val="12"/>
  </w:num>
  <w:num w:numId="29" w16cid:durableId="549076714">
    <w:abstractNumId w:val="24"/>
  </w:num>
  <w:num w:numId="30" w16cid:durableId="1917324760">
    <w:abstractNumId w:val="10"/>
  </w:num>
  <w:num w:numId="31" w16cid:durableId="2055890193">
    <w:abstractNumId w:val="33"/>
  </w:num>
  <w:num w:numId="32" w16cid:durableId="1654722878">
    <w:abstractNumId w:val="8"/>
  </w:num>
  <w:num w:numId="33" w16cid:durableId="1945067179">
    <w:abstractNumId w:val="6"/>
  </w:num>
  <w:num w:numId="34" w16cid:durableId="2079592831">
    <w:abstractNumId w:val="29"/>
  </w:num>
  <w:num w:numId="35" w16cid:durableId="2010478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82"/>
    <w:rsid w:val="000C150D"/>
    <w:rsid w:val="00110CC1"/>
    <w:rsid w:val="00157409"/>
    <w:rsid w:val="001F609F"/>
    <w:rsid w:val="00202D88"/>
    <w:rsid w:val="00220F41"/>
    <w:rsid w:val="0025784A"/>
    <w:rsid w:val="00393CB3"/>
    <w:rsid w:val="00434500"/>
    <w:rsid w:val="00536034"/>
    <w:rsid w:val="00561BB2"/>
    <w:rsid w:val="00813C5F"/>
    <w:rsid w:val="009115CE"/>
    <w:rsid w:val="00A61BC1"/>
    <w:rsid w:val="00B86393"/>
    <w:rsid w:val="00C308C6"/>
    <w:rsid w:val="00C454D1"/>
    <w:rsid w:val="00DE0C90"/>
    <w:rsid w:val="00F9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172E"/>
  <w15:chartTrackingRefBased/>
  <w15:docId w15:val="{1A015C4F-A3F8-4537-BE78-4C44DDBD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F969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8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F96982"/>
    <w:rPr>
      <w:color w:val="0000FF" w:themeColor="hyperlink"/>
      <w:u w:val="single"/>
    </w:rPr>
  </w:style>
  <w:style w:type="character" w:styleId="UnresolvedMention">
    <w:name w:val="Unresolved Mention"/>
    <w:basedOn w:val="DefaultParagraphFont"/>
    <w:uiPriority w:val="99"/>
    <w:semiHidden/>
    <w:unhideWhenUsed/>
    <w:rsid w:val="00F96982"/>
    <w:rPr>
      <w:color w:val="605E5C"/>
      <w:shd w:val="clear" w:color="auto" w:fill="E1DFDD"/>
    </w:rPr>
  </w:style>
  <w:style w:type="paragraph" w:styleId="Header">
    <w:name w:val="header"/>
    <w:basedOn w:val="Normal"/>
    <w:link w:val="HeaderChar"/>
    <w:uiPriority w:val="99"/>
    <w:unhideWhenUsed/>
    <w:rsid w:val="009115CE"/>
    <w:pPr>
      <w:tabs>
        <w:tab w:val="center" w:pos="4513"/>
        <w:tab w:val="right" w:pos="9026"/>
      </w:tabs>
    </w:pPr>
  </w:style>
  <w:style w:type="character" w:customStyle="1" w:styleId="HeaderChar">
    <w:name w:val="Header Char"/>
    <w:basedOn w:val="DefaultParagraphFont"/>
    <w:link w:val="Header"/>
    <w:uiPriority w:val="99"/>
    <w:rsid w:val="009115CE"/>
    <w:rPr>
      <w:sz w:val="24"/>
      <w:szCs w:val="24"/>
    </w:rPr>
  </w:style>
  <w:style w:type="paragraph" w:styleId="Footer">
    <w:name w:val="footer"/>
    <w:basedOn w:val="Normal"/>
    <w:link w:val="FooterChar"/>
    <w:uiPriority w:val="99"/>
    <w:unhideWhenUsed/>
    <w:rsid w:val="009115CE"/>
    <w:pPr>
      <w:tabs>
        <w:tab w:val="center" w:pos="4513"/>
        <w:tab w:val="right" w:pos="9026"/>
      </w:tabs>
    </w:pPr>
  </w:style>
  <w:style w:type="character" w:customStyle="1" w:styleId="FooterChar">
    <w:name w:val="Footer Char"/>
    <w:basedOn w:val="DefaultParagraphFont"/>
    <w:link w:val="Footer"/>
    <w:uiPriority w:val="99"/>
    <w:rsid w:val="00911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726">
      <w:bodyDiv w:val="1"/>
      <w:marLeft w:val="0"/>
      <w:marRight w:val="0"/>
      <w:marTop w:val="0"/>
      <w:marBottom w:val="0"/>
      <w:divBdr>
        <w:top w:val="none" w:sz="0" w:space="0" w:color="auto"/>
        <w:left w:val="none" w:sz="0" w:space="0" w:color="auto"/>
        <w:bottom w:val="none" w:sz="0" w:space="0" w:color="auto"/>
        <w:right w:val="none" w:sz="0" w:space="0" w:color="auto"/>
      </w:divBdr>
    </w:div>
    <w:div w:id="211356086">
      <w:bodyDiv w:val="1"/>
      <w:marLeft w:val="0"/>
      <w:marRight w:val="0"/>
      <w:marTop w:val="0"/>
      <w:marBottom w:val="0"/>
      <w:divBdr>
        <w:top w:val="none" w:sz="0" w:space="0" w:color="auto"/>
        <w:left w:val="none" w:sz="0" w:space="0" w:color="auto"/>
        <w:bottom w:val="none" w:sz="0" w:space="0" w:color="auto"/>
        <w:right w:val="none" w:sz="0" w:space="0" w:color="auto"/>
      </w:divBdr>
    </w:div>
    <w:div w:id="417871353">
      <w:bodyDiv w:val="1"/>
      <w:marLeft w:val="0"/>
      <w:marRight w:val="0"/>
      <w:marTop w:val="0"/>
      <w:marBottom w:val="0"/>
      <w:divBdr>
        <w:top w:val="none" w:sz="0" w:space="0" w:color="auto"/>
        <w:left w:val="none" w:sz="0" w:space="0" w:color="auto"/>
        <w:bottom w:val="none" w:sz="0" w:space="0" w:color="auto"/>
        <w:right w:val="none" w:sz="0" w:space="0" w:color="auto"/>
      </w:divBdr>
    </w:div>
    <w:div w:id="435636122">
      <w:bodyDiv w:val="1"/>
      <w:marLeft w:val="0"/>
      <w:marRight w:val="0"/>
      <w:marTop w:val="0"/>
      <w:marBottom w:val="0"/>
      <w:divBdr>
        <w:top w:val="none" w:sz="0" w:space="0" w:color="auto"/>
        <w:left w:val="none" w:sz="0" w:space="0" w:color="auto"/>
        <w:bottom w:val="none" w:sz="0" w:space="0" w:color="auto"/>
        <w:right w:val="none" w:sz="0" w:space="0" w:color="auto"/>
      </w:divBdr>
    </w:div>
    <w:div w:id="1197233835">
      <w:bodyDiv w:val="1"/>
      <w:marLeft w:val="0"/>
      <w:marRight w:val="0"/>
      <w:marTop w:val="0"/>
      <w:marBottom w:val="0"/>
      <w:divBdr>
        <w:top w:val="none" w:sz="0" w:space="0" w:color="auto"/>
        <w:left w:val="none" w:sz="0" w:space="0" w:color="auto"/>
        <w:bottom w:val="none" w:sz="0" w:space="0" w:color="auto"/>
        <w:right w:val="none" w:sz="0" w:space="0" w:color="auto"/>
      </w:divBdr>
    </w:div>
    <w:div w:id="1315840522">
      <w:bodyDiv w:val="1"/>
      <w:marLeft w:val="0"/>
      <w:marRight w:val="0"/>
      <w:marTop w:val="0"/>
      <w:marBottom w:val="0"/>
      <w:divBdr>
        <w:top w:val="none" w:sz="0" w:space="0" w:color="auto"/>
        <w:left w:val="none" w:sz="0" w:space="0" w:color="auto"/>
        <w:bottom w:val="none" w:sz="0" w:space="0" w:color="auto"/>
        <w:right w:val="none" w:sz="0" w:space="0" w:color="auto"/>
      </w:divBdr>
    </w:div>
    <w:div w:id="1363819922">
      <w:bodyDiv w:val="1"/>
      <w:marLeft w:val="0"/>
      <w:marRight w:val="0"/>
      <w:marTop w:val="0"/>
      <w:marBottom w:val="0"/>
      <w:divBdr>
        <w:top w:val="none" w:sz="0" w:space="0" w:color="auto"/>
        <w:left w:val="none" w:sz="0" w:space="0" w:color="auto"/>
        <w:bottom w:val="none" w:sz="0" w:space="0" w:color="auto"/>
        <w:right w:val="none" w:sz="0" w:space="0" w:color="auto"/>
      </w:divBdr>
    </w:div>
    <w:div w:id="1507399716">
      <w:bodyDiv w:val="1"/>
      <w:marLeft w:val="0"/>
      <w:marRight w:val="0"/>
      <w:marTop w:val="0"/>
      <w:marBottom w:val="0"/>
      <w:divBdr>
        <w:top w:val="none" w:sz="0" w:space="0" w:color="auto"/>
        <w:left w:val="none" w:sz="0" w:space="0" w:color="auto"/>
        <w:bottom w:val="none" w:sz="0" w:space="0" w:color="auto"/>
        <w:right w:val="none" w:sz="0" w:space="0" w:color="auto"/>
      </w:divBdr>
    </w:div>
    <w:div w:id="18769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y.kirklees.gov.uk/population/" TargetMode="External"/><Relationship Id="rId13" Type="http://schemas.openxmlformats.org/officeDocument/2006/relationships/hyperlink" Target="https://www.kirklees.gov.uk/beta/special-education/pdf/send-transformation-pl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rivingkirklees.org.uk/referral-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irkleessafeguardingchildren.co.uk/safeguarding-2/safeguarding-processes-and-systems/multi-agency-training/practice-guidance-presen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ivingkirklees.org.uk/services/" TargetMode="External"/><Relationship Id="rId5" Type="http://schemas.openxmlformats.org/officeDocument/2006/relationships/webSettings" Target="webSettings.xml"/><Relationship Id="rId15" Type="http://schemas.openxmlformats.org/officeDocument/2006/relationships/hyperlink" Target="https://www.kirkleessafeguardingchildren.co.uk/wp-content/uploads/2023/01/2021-2022-Kirklees-CDOP-Annual-Report.pdf" TargetMode="External"/><Relationship Id="rId10" Type="http://schemas.openxmlformats.org/officeDocument/2006/relationships/hyperlink" Target="https://www.thrivingkirkle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rkleessafeguardingchildren.co.uk/wp-content/uploads/2020/07/v17-2020-07-02-Kirklees-Exploitation-Strategy.pdf" TargetMode="External"/><Relationship Id="rId14" Type="http://schemas.openxmlformats.org/officeDocument/2006/relationships/hyperlink" Target="https://www.kirkleessafeguardingchildren.co.uk/wp-content/uploads/2022/06/MASA-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9FDC-5F42-4A8D-8E0A-FA6265D3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Jane Carter</cp:lastModifiedBy>
  <cp:revision>5</cp:revision>
  <dcterms:created xsi:type="dcterms:W3CDTF">2023-05-10T12:21:00Z</dcterms:created>
  <dcterms:modified xsi:type="dcterms:W3CDTF">2023-07-18T10:44:00Z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2023-05-10T12:21:16Z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7de08014-5ef7-4a43-b79e-72583518940e</vt:lpwstr>
  </property>
  <property fmtid="{D5CDD505-2E9C-101B-9397-08002B2CF9AE}" pid="8" name="MSIP_Label_22127eb8-1c2a-4c17-86cc-a5ba0926d1f9_ContentBits">
    <vt:lpwstr>0</vt:lpwstr>
  </property>
</Properties>
</file>